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F44E" w14:textId="0C72DB7F" w:rsidR="00284CD6" w:rsidRDefault="00284CD6" w:rsidP="00284CD6">
      <w:pPr>
        <w:pStyle w:val="Title"/>
      </w:pPr>
      <w:r>
        <w:t xml:space="preserve">Negative Brief: </w:t>
      </w:r>
      <w:r w:rsidR="008908D6">
        <w:t>FERC Salaries – not a problem</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459FD63B" w:rsidR="00284CD6" w:rsidRPr="00F60940" w:rsidRDefault="00732FD3" w:rsidP="00284CD6">
      <w:pPr>
        <w:pStyle w:val="Case"/>
        <w:numPr>
          <w:ilvl w:val="0"/>
          <w:numId w:val="0"/>
        </w:numPr>
        <w:rPr>
          <w:rFonts w:eastAsiaTheme="minorEastAsia"/>
        </w:rPr>
      </w:pPr>
      <w:r>
        <w:rPr>
          <w:rFonts w:eastAsiaTheme="minorEastAsia"/>
        </w:rPr>
        <w:t xml:space="preserve">The Affirmative </w:t>
      </w:r>
      <w:r w:rsidR="008908D6">
        <w:rPr>
          <w:rFonts w:eastAsiaTheme="minorEastAsia"/>
        </w:rPr>
        <w:t>plan increases the salaries of employees of the Federal Energy Regulatory Commission</w:t>
      </w:r>
      <w:r w:rsidR="007E59FF">
        <w:rPr>
          <w:rFonts w:eastAsiaTheme="minorEastAsia"/>
        </w:rPr>
        <w:t>.</w:t>
      </w:r>
      <w:bookmarkStart w:id="0" w:name="_GoBack"/>
      <w:bookmarkEnd w:id="0"/>
    </w:p>
    <w:p w14:paraId="22E3AEB8" w14:textId="4964B27B" w:rsidR="00D44B38"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D44B38">
        <w:rPr>
          <w:noProof/>
        </w:rPr>
        <w:t>Negative:  FERC Salaries – not a problem</w:t>
      </w:r>
      <w:r w:rsidR="00D44B38">
        <w:rPr>
          <w:noProof/>
        </w:rPr>
        <w:tab/>
      </w:r>
      <w:r w:rsidR="00D44B38">
        <w:rPr>
          <w:noProof/>
        </w:rPr>
        <w:fldChar w:fldCharType="begin"/>
      </w:r>
      <w:r w:rsidR="00D44B38">
        <w:rPr>
          <w:noProof/>
        </w:rPr>
        <w:instrText xml:space="preserve"> PAGEREF _Toc31205502 \h </w:instrText>
      </w:r>
      <w:r w:rsidR="00D44B38">
        <w:rPr>
          <w:noProof/>
        </w:rPr>
      </w:r>
      <w:r w:rsidR="00D44B38">
        <w:rPr>
          <w:noProof/>
        </w:rPr>
        <w:fldChar w:fldCharType="separate"/>
      </w:r>
      <w:r w:rsidR="00D44B38">
        <w:rPr>
          <w:noProof/>
        </w:rPr>
        <w:t>3</w:t>
      </w:r>
      <w:r w:rsidR="00D44B38">
        <w:rPr>
          <w:noProof/>
        </w:rPr>
        <w:fldChar w:fldCharType="end"/>
      </w:r>
    </w:p>
    <w:p w14:paraId="13B29918" w14:textId="2A1F4B4B" w:rsidR="00D44B38" w:rsidRDefault="00D44B38">
      <w:pPr>
        <w:pStyle w:val="TOC2"/>
        <w:rPr>
          <w:rFonts w:asciiTheme="minorHAnsi" w:eastAsiaTheme="minorEastAsia" w:hAnsiTheme="minorHAnsi" w:cstheme="minorBidi"/>
          <w:noProof/>
          <w:sz w:val="22"/>
          <w:szCs w:val="22"/>
        </w:rPr>
      </w:pPr>
      <w:r>
        <w:rPr>
          <w:noProof/>
        </w:rPr>
        <w:t>TOPICALITY</w:t>
      </w:r>
      <w:r>
        <w:rPr>
          <w:noProof/>
        </w:rPr>
        <w:tab/>
      </w:r>
      <w:r>
        <w:rPr>
          <w:noProof/>
        </w:rPr>
        <w:fldChar w:fldCharType="begin"/>
      </w:r>
      <w:r>
        <w:rPr>
          <w:noProof/>
        </w:rPr>
        <w:instrText xml:space="preserve"> PAGEREF _Toc31205503 \h </w:instrText>
      </w:r>
      <w:r>
        <w:rPr>
          <w:noProof/>
        </w:rPr>
      </w:r>
      <w:r>
        <w:rPr>
          <w:noProof/>
        </w:rPr>
        <w:fldChar w:fldCharType="separate"/>
      </w:r>
      <w:r>
        <w:rPr>
          <w:noProof/>
        </w:rPr>
        <w:t>3</w:t>
      </w:r>
      <w:r>
        <w:rPr>
          <w:noProof/>
        </w:rPr>
        <w:fldChar w:fldCharType="end"/>
      </w:r>
    </w:p>
    <w:p w14:paraId="45A7F5CD" w14:textId="4FDA771D" w:rsidR="00D44B38" w:rsidRDefault="00D44B38">
      <w:pPr>
        <w:pStyle w:val="TOC2"/>
        <w:rPr>
          <w:rFonts w:asciiTheme="minorHAnsi" w:eastAsiaTheme="minorEastAsia" w:hAnsiTheme="minorHAnsi" w:cstheme="minorBidi"/>
          <w:noProof/>
          <w:sz w:val="22"/>
          <w:szCs w:val="22"/>
        </w:rPr>
      </w:pPr>
      <w:r>
        <w:rPr>
          <w:noProof/>
        </w:rPr>
        <w:t>1.  Not Substantial  reform</w:t>
      </w:r>
      <w:r>
        <w:rPr>
          <w:noProof/>
        </w:rPr>
        <w:tab/>
      </w:r>
      <w:r>
        <w:rPr>
          <w:noProof/>
        </w:rPr>
        <w:fldChar w:fldCharType="begin"/>
      </w:r>
      <w:r>
        <w:rPr>
          <w:noProof/>
        </w:rPr>
        <w:instrText xml:space="preserve"> PAGEREF _Toc31205504 \h </w:instrText>
      </w:r>
      <w:r>
        <w:rPr>
          <w:noProof/>
        </w:rPr>
      </w:r>
      <w:r>
        <w:rPr>
          <w:noProof/>
        </w:rPr>
        <w:fldChar w:fldCharType="separate"/>
      </w:r>
      <w:r>
        <w:rPr>
          <w:noProof/>
        </w:rPr>
        <w:t>3</w:t>
      </w:r>
      <w:r>
        <w:rPr>
          <w:noProof/>
        </w:rPr>
        <w:fldChar w:fldCharType="end"/>
      </w:r>
    </w:p>
    <w:p w14:paraId="578D8945" w14:textId="3ACE610B" w:rsidR="00D44B38" w:rsidRDefault="00D44B38">
      <w:pPr>
        <w:pStyle w:val="TOC3"/>
        <w:rPr>
          <w:rFonts w:asciiTheme="minorHAnsi" w:eastAsiaTheme="minorEastAsia" w:hAnsiTheme="minorHAnsi" w:cstheme="minorBidi"/>
          <w:noProof/>
          <w:sz w:val="22"/>
          <w:szCs w:val="22"/>
        </w:rPr>
      </w:pPr>
      <w:r>
        <w:rPr>
          <w:noProof/>
        </w:rPr>
        <w:t>Link:  No dollar value .  The text of the bill doesn’t say how much it will raise FERC salaries, it just says the Chairman can raise them if he wants to</w:t>
      </w:r>
      <w:r>
        <w:rPr>
          <w:noProof/>
        </w:rPr>
        <w:tab/>
      </w:r>
      <w:r>
        <w:rPr>
          <w:noProof/>
        </w:rPr>
        <w:fldChar w:fldCharType="begin"/>
      </w:r>
      <w:r>
        <w:rPr>
          <w:noProof/>
        </w:rPr>
        <w:instrText xml:space="preserve"> PAGEREF _Toc31205505 \h </w:instrText>
      </w:r>
      <w:r>
        <w:rPr>
          <w:noProof/>
        </w:rPr>
      </w:r>
      <w:r>
        <w:rPr>
          <w:noProof/>
        </w:rPr>
        <w:fldChar w:fldCharType="separate"/>
      </w:r>
      <w:r>
        <w:rPr>
          <w:noProof/>
        </w:rPr>
        <w:t>3</w:t>
      </w:r>
      <w:r>
        <w:rPr>
          <w:noProof/>
        </w:rPr>
        <w:fldChar w:fldCharType="end"/>
      </w:r>
    </w:p>
    <w:p w14:paraId="6BD80710" w14:textId="4D5FDCD6" w:rsidR="00D44B38" w:rsidRDefault="00D44B38">
      <w:pPr>
        <w:pStyle w:val="TOC3"/>
        <w:rPr>
          <w:rFonts w:asciiTheme="minorHAnsi" w:eastAsiaTheme="minorEastAsia" w:hAnsiTheme="minorHAnsi" w:cstheme="minorBidi"/>
          <w:noProof/>
          <w:sz w:val="22"/>
          <w:szCs w:val="22"/>
        </w:rPr>
      </w:pPr>
      <w:r>
        <w:rPr>
          <w:noProof/>
        </w:rPr>
        <w:t>Link:   No percentage change</w:t>
      </w:r>
      <w:r>
        <w:rPr>
          <w:noProof/>
        </w:rPr>
        <w:tab/>
      </w:r>
      <w:r>
        <w:rPr>
          <w:noProof/>
        </w:rPr>
        <w:fldChar w:fldCharType="begin"/>
      </w:r>
      <w:r>
        <w:rPr>
          <w:noProof/>
        </w:rPr>
        <w:instrText xml:space="preserve"> PAGEREF _Toc31205506 \h </w:instrText>
      </w:r>
      <w:r>
        <w:rPr>
          <w:noProof/>
        </w:rPr>
      </w:r>
      <w:r>
        <w:rPr>
          <w:noProof/>
        </w:rPr>
        <w:fldChar w:fldCharType="separate"/>
      </w:r>
      <w:r>
        <w:rPr>
          <w:noProof/>
        </w:rPr>
        <w:t>3</w:t>
      </w:r>
      <w:r>
        <w:rPr>
          <w:noProof/>
        </w:rPr>
        <w:fldChar w:fldCharType="end"/>
      </w:r>
    </w:p>
    <w:p w14:paraId="5993D956" w14:textId="0E1B6469" w:rsidR="00D44B38" w:rsidRDefault="00D44B38">
      <w:pPr>
        <w:pStyle w:val="TOC3"/>
        <w:rPr>
          <w:rFonts w:asciiTheme="minorHAnsi" w:eastAsiaTheme="minorEastAsia" w:hAnsiTheme="minorHAnsi" w:cstheme="minorBidi"/>
          <w:noProof/>
          <w:sz w:val="22"/>
          <w:szCs w:val="22"/>
        </w:rPr>
      </w:pPr>
      <w:r>
        <w:rPr>
          <w:noProof/>
        </w:rPr>
        <w:t>Violation:  AFF has the burden to prove in the 1AC their plan is topical</w:t>
      </w:r>
      <w:r>
        <w:rPr>
          <w:noProof/>
        </w:rPr>
        <w:tab/>
      </w:r>
      <w:r>
        <w:rPr>
          <w:noProof/>
        </w:rPr>
        <w:fldChar w:fldCharType="begin"/>
      </w:r>
      <w:r>
        <w:rPr>
          <w:noProof/>
        </w:rPr>
        <w:instrText xml:space="preserve"> PAGEREF _Toc31205507 \h </w:instrText>
      </w:r>
      <w:r>
        <w:rPr>
          <w:noProof/>
        </w:rPr>
      </w:r>
      <w:r>
        <w:rPr>
          <w:noProof/>
        </w:rPr>
        <w:fldChar w:fldCharType="separate"/>
      </w:r>
      <w:r>
        <w:rPr>
          <w:noProof/>
        </w:rPr>
        <w:t>3</w:t>
      </w:r>
      <w:r>
        <w:rPr>
          <w:noProof/>
        </w:rPr>
        <w:fldChar w:fldCharType="end"/>
      </w:r>
    </w:p>
    <w:p w14:paraId="1805A112" w14:textId="3E91EF51" w:rsidR="00D44B38" w:rsidRDefault="00D44B38">
      <w:pPr>
        <w:pStyle w:val="TOC3"/>
        <w:rPr>
          <w:rFonts w:asciiTheme="minorHAnsi" w:eastAsiaTheme="minorEastAsia" w:hAnsiTheme="minorHAnsi" w:cstheme="minorBidi"/>
          <w:noProof/>
          <w:sz w:val="22"/>
          <w:szCs w:val="22"/>
        </w:rPr>
      </w:pPr>
      <w:r>
        <w:rPr>
          <w:noProof/>
        </w:rPr>
        <w:t>Impact:  NEG ballot</w:t>
      </w:r>
      <w:r>
        <w:rPr>
          <w:noProof/>
        </w:rPr>
        <w:tab/>
      </w:r>
      <w:r>
        <w:rPr>
          <w:noProof/>
        </w:rPr>
        <w:fldChar w:fldCharType="begin"/>
      </w:r>
      <w:r>
        <w:rPr>
          <w:noProof/>
        </w:rPr>
        <w:instrText xml:space="preserve"> PAGEREF _Toc31205508 \h </w:instrText>
      </w:r>
      <w:r>
        <w:rPr>
          <w:noProof/>
        </w:rPr>
      </w:r>
      <w:r>
        <w:rPr>
          <w:noProof/>
        </w:rPr>
        <w:fldChar w:fldCharType="separate"/>
      </w:r>
      <w:r>
        <w:rPr>
          <w:noProof/>
        </w:rPr>
        <w:t>3</w:t>
      </w:r>
      <w:r>
        <w:rPr>
          <w:noProof/>
        </w:rPr>
        <w:fldChar w:fldCharType="end"/>
      </w:r>
    </w:p>
    <w:p w14:paraId="2B00E770" w14:textId="2356BF6B" w:rsidR="00D44B38" w:rsidRDefault="00D44B38">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_Toc31205509 \h </w:instrText>
      </w:r>
      <w:r>
        <w:rPr>
          <w:noProof/>
        </w:rPr>
      </w:r>
      <w:r>
        <w:rPr>
          <w:noProof/>
        </w:rPr>
        <w:fldChar w:fldCharType="separate"/>
      </w:r>
      <w:r>
        <w:rPr>
          <w:noProof/>
        </w:rPr>
        <w:t>4</w:t>
      </w:r>
      <w:r>
        <w:rPr>
          <w:noProof/>
        </w:rPr>
        <w:fldChar w:fldCharType="end"/>
      </w:r>
    </w:p>
    <w:p w14:paraId="5CBB7A7E" w14:textId="2F4E0E60" w:rsidR="00D44B38" w:rsidRDefault="00D44B38">
      <w:pPr>
        <w:pStyle w:val="TOC2"/>
        <w:rPr>
          <w:rFonts w:asciiTheme="minorHAnsi" w:eastAsiaTheme="minorEastAsia" w:hAnsiTheme="minorHAnsi" w:cstheme="minorBidi"/>
          <w:noProof/>
          <w:sz w:val="22"/>
          <w:szCs w:val="22"/>
        </w:rPr>
      </w:pPr>
      <w:r>
        <w:rPr>
          <w:noProof/>
        </w:rPr>
        <w:t>1.  Outside contractors</w:t>
      </w:r>
      <w:r>
        <w:rPr>
          <w:noProof/>
        </w:rPr>
        <w:tab/>
      </w:r>
      <w:r>
        <w:rPr>
          <w:noProof/>
        </w:rPr>
        <w:fldChar w:fldCharType="begin"/>
      </w:r>
      <w:r>
        <w:rPr>
          <w:noProof/>
        </w:rPr>
        <w:instrText xml:space="preserve"> PAGEREF _Toc31205510 \h </w:instrText>
      </w:r>
      <w:r>
        <w:rPr>
          <w:noProof/>
        </w:rPr>
      </w:r>
      <w:r>
        <w:rPr>
          <w:noProof/>
        </w:rPr>
        <w:fldChar w:fldCharType="separate"/>
      </w:r>
      <w:r>
        <w:rPr>
          <w:noProof/>
        </w:rPr>
        <w:t>4</w:t>
      </w:r>
      <w:r>
        <w:rPr>
          <w:noProof/>
        </w:rPr>
        <w:fldChar w:fldCharType="end"/>
      </w:r>
    </w:p>
    <w:p w14:paraId="1F572691" w14:textId="1CA41290" w:rsidR="00D44B38" w:rsidRDefault="00D44B38">
      <w:pPr>
        <w:pStyle w:val="TOC3"/>
        <w:rPr>
          <w:rFonts w:asciiTheme="minorHAnsi" w:eastAsiaTheme="minorEastAsia" w:hAnsiTheme="minorHAnsi" w:cstheme="minorBidi"/>
          <w:noProof/>
          <w:sz w:val="22"/>
          <w:szCs w:val="22"/>
        </w:rPr>
      </w:pPr>
      <w:r>
        <w:rPr>
          <w:noProof/>
        </w:rPr>
        <w:t>FERC can bring in outside contractors temporarily to solve the backlog</w:t>
      </w:r>
      <w:r>
        <w:rPr>
          <w:noProof/>
        </w:rPr>
        <w:tab/>
      </w:r>
      <w:r>
        <w:rPr>
          <w:noProof/>
        </w:rPr>
        <w:fldChar w:fldCharType="begin"/>
      </w:r>
      <w:r>
        <w:rPr>
          <w:noProof/>
        </w:rPr>
        <w:instrText xml:space="preserve"> PAGEREF _Toc31205511 \h </w:instrText>
      </w:r>
      <w:r>
        <w:rPr>
          <w:noProof/>
        </w:rPr>
      </w:r>
      <w:r>
        <w:rPr>
          <w:noProof/>
        </w:rPr>
        <w:fldChar w:fldCharType="separate"/>
      </w:r>
      <w:r>
        <w:rPr>
          <w:noProof/>
        </w:rPr>
        <w:t>4</w:t>
      </w:r>
      <w:r>
        <w:rPr>
          <w:noProof/>
        </w:rPr>
        <w:fldChar w:fldCharType="end"/>
      </w:r>
    </w:p>
    <w:p w14:paraId="6D6F46A4" w14:textId="1B1BA670" w:rsidR="00D44B38" w:rsidRDefault="00D44B38">
      <w:pPr>
        <w:pStyle w:val="TOC2"/>
        <w:rPr>
          <w:rFonts w:asciiTheme="minorHAnsi" w:eastAsiaTheme="minorEastAsia" w:hAnsiTheme="minorHAnsi" w:cstheme="minorBidi"/>
          <w:noProof/>
          <w:sz w:val="22"/>
          <w:szCs w:val="22"/>
        </w:rPr>
      </w:pPr>
      <w:r>
        <w:rPr>
          <w:noProof/>
        </w:rPr>
        <w:t>2.  LNG exports rapidly increasing</w:t>
      </w:r>
      <w:r>
        <w:rPr>
          <w:noProof/>
        </w:rPr>
        <w:tab/>
      </w:r>
      <w:r>
        <w:rPr>
          <w:noProof/>
        </w:rPr>
        <w:fldChar w:fldCharType="begin"/>
      </w:r>
      <w:r>
        <w:rPr>
          <w:noProof/>
        </w:rPr>
        <w:instrText xml:space="preserve"> PAGEREF _Toc31205512 \h </w:instrText>
      </w:r>
      <w:r>
        <w:rPr>
          <w:noProof/>
        </w:rPr>
      </w:r>
      <w:r>
        <w:rPr>
          <w:noProof/>
        </w:rPr>
        <w:fldChar w:fldCharType="separate"/>
      </w:r>
      <w:r>
        <w:rPr>
          <w:noProof/>
        </w:rPr>
        <w:t>4</w:t>
      </w:r>
      <w:r>
        <w:rPr>
          <w:noProof/>
        </w:rPr>
        <w:fldChar w:fldCharType="end"/>
      </w:r>
    </w:p>
    <w:p w14:paraId="60F5E3BC" w14:textId="5CABA493" w:rsidR="00D44B38" w:rsidRDefault="00D44B38">
      <w:pPr>
        <w:pStyle w:val="TOC3"/>
        <w:rPr>
          <w:rFonts w:asciiTheme="minorHAnsi" w:eastAsiaTheme="minorEastAsia" w:hAnsiTheme="minorHAnsi" w:cstheme="minorBidi"/>
          <w:noProof/>
          <w:sz w:val="22"/>
          <w:szCs w:val="22"/>
        </w:rPr>
      </w:pPr>
      <w:r>
        <w:rPr>
          <w:noProof/>
        </w:rPr>
        <w:t>Despite the “barriers” claimed by AFF (FERC blocking LNG exports), in fact, they are increasing continuously and dramatically in Status Quo</w:t>
      </w:r>
      <w:r>
        <w:rPr>
          <w:noProof/>
        </w:rPr>
        <w:tab/>
      </w:r>
      <w:r>
        <w:rPr>
          <w:noProof/>
        </w:rPr>
        <w:fldChar w:fldCharType="begin"/>
      </w:r>
      <w:r>
        <w:rPr>
          <w:noProof/>
        </w:rPr>
        <w:instrText xml:space="preserve"> PAGEREF _Toc31205513 \h </w:instrText>
      </w:r>
      <w:r>
        <w:rPr>
          <w:noProof/>
        </w:rPr>
      </w:r>
      <w:r>
        <w:rPr>
          <w:noProof/>
        </w:rPr>
        <w:fldChar w:fldCharType="separate"/>
      </w:r>
      <w:r>
        <w:rPr>
          <w:noProof/>
        </w:rPr>
        <w:t>4</w:t>
      </w:r>
      <w:r>
        <w:rPr>
          <w:noProof/>
        </w:rPr>
        <w:fldChar w:fldCharType="end"/>
      </w:r>
    </w:p>
    <w:p w14:paraId="542E7B56" w14:textId="3713411B" w:rsidR="00D44B38" w:rsidRDefault="00D44B38">
      <w:pPr>
        <w:pStyle w:val="TOC2"/>
        <w:rPr>
          <w:rFonts w:asciiTheme="minorHAnsi" w:eastAsiaTheme="minorEastAsia" w:hAnsiTheme="minorHAnsi" w:cstheme="minorBidi"/>
          <w:noProof/>
          <w:sz w:val="22"/>
          <w:szCs w:val="22"/>
        </w:rPr>
      </w:pPr>
      <w:r>
        <w:rPr>
          <w:noProof/>
        </w:rPr>
        <w:t>3.  FERC salaries not low – very generous compared to US average</w:t>
      </w:r>
      <w:r>
        <w:rPr>
          <w:noProof/>
        </w:rPr>
        <w:tab/>
      </w:r>
      <w:r>
        <w:rPr>
          <w:noProof/>
        </w:rPr>
        <w:fldChar w:fldCharType="begin"/>
      </w:r>
      <w:r>
        <w:rPr>
          <w:noProof/>
        </w:rPr>
        <w:instrText xml:space="preserve"> PAGEREF _Toc31205514 \h </w:instrText>
      </w:r>
      <w:r>
        <w:rPr>
          <w:noProof/>
        </w:rPr>
      </w:r>
      <w:r>
        <w:rPr>
          <w:noProof/>
        </w:rPr>
        <w:fldChar w:fldCharType="separate"/>
      </w:r>
      <w:r>
        <w:rPr>
          <w:noProof/>
        </w:rPr>
        <w:t>4</w:t>
      </w:r>
      <w:r>
        <w:rPr>
          <w:noProof/>
        </w:rPr>
        <w:fldChar w:fldCharType="end"/>
      </w:r>
    </w:p>
    <w:p w14:paraId="163E7C7E" w14:textId="6F592D0B" w:rsidR="00D44B38" w:rsidRDefault="00D44B38">
      <w:pPr>
        <w:pStyle w:val="TOC3"/>
        <w:rPr>
          <w:rFonts w:asciiTheme="minorHAnsi" w:eastAsiaTheme="minorEastAsia" w:hAnsiTheme="minorHAnsi" w:cstheme="minorBidi"/>
          <w:noProof/>
          <w:sz w:val="22"/>
          <w:szCs w:val="22"/>
        </w:rPr>
      </w:pPr>
      <w:r>
        <w:rPr>
          <w:noProof/>
        </w:rPr>
        <w:t>Average FERC salary is $113,348/year</w:t>
      </w:r>
      <w:r>
        <w:rPr>
          <w:noProof/>
        </w:rPr>
        <w:tab/>
      </w:r>
      <w:r>
        <w:rPr>
          <w:noProof/>
        </w:rPr>
        <w:fldChar w:fldCharType="begin"/>
      </w:r>
      <w:r>
        <w:rPr>
          <w:noProof/>
        </w:rPr>
        <w:instrText xml:space="preserve"> PAGEREF _Toc31205515 \h </w:instrText>
      </w:r>
      <w:r>
        <w:rPr>
          <w:noProof/>
        </w:rPr>
      </w:r>
      <w:r>
        <w:rPr>
          <w:noProof/>
        </w:rPr>
        <w:fldChar w:fldCharType="separate"/>
      </w:r>
      <w:r>
        <w:rPr>
          <w:noProof/>
        </w:rPr>
        <w:t>4</w:t>
      </w:r>
      <w:r>
        <w:rPr>
          <w:noProof/>
        </w:rPr>
        <w:fldChar w:fldCharType="end"/>
      </w:r>
    </w:p>
    <w:p w14:paraId="763AB6FA" w14:textId="2E0499B3" w:rsidR="00D44B38" w:rsidRDefault="00D44B38">
      <w:pPr>
        <w:pStyle w:val="TOC3"/>
        <w:rPr>
          <w:rFonts w:asciiTheme="minorHAnsi" w:eastAsiaTheme="minorEastAsia" w:hAnsiTheme="minorHAnsi" w:cstheme="minorBidi"/>
          <w:noProof/>
          <w:sz w:val="22"/>
          <w:szCs w:val="22"/>
        </w:rPr>
      </w:pPr>
      <w:r>
        <w:rPr>
          <w:noProof/>
        </w:rPr>
        <w:t>Average salary  of people in the United States is $47,060 / year</w:t>
      </w:r>
      <w:r>
        <w:rPr>
          <w:noProof/>
        </w:rPr>
        <w:tab/>
      </w:r>
      <w:r>
        <w:rPr>
          <w:noProof/>
        </w:rPr>
        <w:fldChar w:fldCharType="begin"/>
      </w:r>
      <w:r>
        <w:rPr>
          <w:noProof/>
        </w:rPr>
        <w:instrText xml:space="preserve"> PAGEREF _Toc31205516 \h </w:instrText>
      </w:r>
      <w:r>
        <w:rPr>
          <w:noProof/>
        </w:rPr>
      </w:r>
      <w:r>
        <w:rPr>
          <w:noProof/>
        </w:rPr>
        <w:fldChar w:fldCharType="separate"/>
      </w:r>
      <w:r>
        <w:rPr>
          <w:noProof/>
        </w:rPr>
        <w:t>4</w:t>
      </w:r>
      <w:r>
        <w:rPr>
          <w:noProof/>
        </w:rPr>
        <w:fldChar w:fldCharType="end"/>
      </w:r>
    </w:p>
    <w:p w14:paraId="458A806B" w14:textId="713D542A" w:rsidR="00D44B38" w:rsidRDefault="00D44B38">
      <w:pPr>
        <w:pStyle w:val="TOC3"/>
        <w:rPr>
          <w:rFonts w:asciiTheme="minorHAnsi" w:eastAsiaTheme="minorEastAsia" w:hAnsiTheme="minorHAnsi" w:cstheme="minorBidi"/>
          <w:noProof/>
          <w:sz w:val="22"/>
          <w:szCs w:val="22"/>
        </w:rPr>
      </w:pPr>
      <w:r>
        <w:rPr>
          <w:noProof/>
        </w:rPr>
        <w:t>Do the math:  FERC employees make 2.4 times the average salary of everyone else in America</w:t>
      </w:r>
      <w:r>
        <w:rPr>
          <w:noProof/>
        </w:rPr>
        <w:tab/>
      </w:r>
      <w:r>
        <w:rPr>
          <w:noProof/>
        </w:rPr>
        <w:fldChar w:fldCharType="begin"/>
      </w:r>
      <w:r>
        <w:rPr>
          <w:noProof/>
        </w:rPr>
        <w:instrText xml:space="preserve"> PAGEREF _Toc31205517 \h </w:instrText>
      </w:r>
      <w:r>
        <w:rPr>
          <w:noProof/>
        </w:rPr>
      </w:r>
      <w:r>
        <w:rPr>
          <w:noProof/>
        </w:rPr>
        <w:fldChar w:fldCharType="separate"/>
      </w:r>
      <w:r>
        <w:rPr>
          <w:noProof/>
        </w:rPr>
        <w:t>5</w:t>
      </w:r>
      <w:r>
        <w:rPr>
          <w:noProof/>
        </w:rPr>
        <w:fldChar w:fldCharType="end"/>
      </w:r>
    </w:p>
    <w:p w14:paraId="6D6D5C6A" w14:textId="37A19904" w:rsidR="00D44B38" w:rsidRDefault="00D44B38">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_Toc31205518 \h </w:instrText>
      </w:r>
      <w:r>
        <w:rPr>
          <w:noProof/>
        </w:rPr>
      </w:r>
      <w:r>
        <w:rPr>
          <w:noProof/>
        </w:rPr>
        <w:fldChar w:fldCharType="separate"/>
      </w:r>
      <w:r>
        <w:rPr>
          <w:noProof/>
        </w:rPr>
        <w:t>5</w:t>
      </w:r>
      <w:r>
        <w:rPr>
          <w:noProof/>
        </w:rPr>
        <w:fldChar w:fldCharType="end"/>
      </w:r>
    </w:p>
    <w:p w14:paraId="177F3CA8" w14:textId="78A2CBEF" w:rsidR="00D44B38" w:rsidRDefault="00D44B38">
      <w:pPr>
        <w:pStyle w:val="TOC2"/>
        <w:rPr>
          <w:rFonts w:asciiTheme="minorHAnsi" w:eastAsiaTheme="minorEastAsia" w:hAnsiTheme="minorHAnsi" w:cstheme="minorBidi"/>
          <w:noProof/>
          <w:sz w:val="22"/>
          <w:szCs w:val="22"/>
        </w:rPr>
      </w:pPr>
      <w:r>
        <w:rPr>
          <w:noProof/>
        </w:rPr>
        <w:t>1.  Already tried and failed #1: Employees not satisfied</w:t>
      </w:r>
      <w:r>
        <w:rPr>
          <w:noProof/>
        </w:rPr>
        <w:tab/>
      </w:r>
      <w:r>
        <w:rPr>
          <w:noProof/>
        </w:rPr>
        <w:fldChar w:fldCharType="begin"/>
      </w:r>
      <w:r>
        <w:rPr>
          <w:noProof/>
        </w:rPr>
        <w:instrText xml:space="preserve"> PAGEREF _Toc31205519 \h </w:instrText>
      </w:r>
      <w:r>
        <w:rPr>
          <w:noProof/>
        </w:rPr>
      </w:r>
      <w:r>
        <w:rPr>
          <w:noProof/>
        </w:rPr>
        <w:fldChar w:fldCharType="separate"/>
      </w:r>
      <w:r>
        <w:rPr>
          <w:noProof/>
        </w:rPr>
        <w:t>5</w:t>
      </w:r>
      <w:r>
        <w:rPr>
          <w:noProof/>
        </w:rPr>
        <w:fldChar w:fldCharType="end"/>
      </w:r>
    </w:p>
    <w:p w14:paraId="0746AD1C" w14:textId="41BBDA40" w:rsidR="00D44B38" w:rsidRDefault="00D44B38">
      <w:pPr>
        <w:pStyle w:val="TOC3"/>
        <w:rPr>
          <w:rFonts w:asciiTheme="minorHAnsi" w:eastAsiaTheme="minorEastAsia" w:hAnsiTheme="minorHAnsi" w:cstheme="minorBidi"/>
          <w:noProof/>
          <w:sz w:val="22"/>
          <w:szCs w:val="22"/>
        </w:rPr>
      </w:pPr>
      <w:r>
        <w:rPr>
          <w:noProof/>
        </w:rPr>
        <w:t>Link:  The Securities &amp; Exchange Commission tried the same plan for the same reasons – and the author of their FERC plan cited SEC as a model</w:t>
      </w:r>
      <w:r>
        <w:rPr>
          <w:noProof/>
        </w:rPr>
        <w:tab/>
      </w:r>
      <w:r>
        <w:rPr>
          <w:noProof/>
        </w:rPr>
        <w:fldChar w:fldCharType="begin"/>
      </w:r>
      <w:r>
        <w:rPr>
          <w:noProof/>
        </w:rPr>
        <w:instrText xml:space="preserve"> PAGEREF _Toc31205520 \h </w:instrText>
      </w:r>
      <w:r>
        <w:rPr>
          <w:noProof/>
        </w:rPr>
      </w:r>
      <w:r>
        <w:rPr>
          <w:noProof/>
        </w:rPr>
        <w:fldChar w:fldCharType="separate"/>
      </w:r>
      <w:r>
        <w:rPr>
          <w:noProof/>
        </w:rPr>
        <w:t>5</w:t>
      </w:r>
      <w:r>
        <w:rPr>
          <w:noProof/>
        </w:rPr>
        <w:fldChar w:fldCharType="end"/>
      </w:r>
    </w:p>
    <w:p w14:paraId="3D6BC7DD" w14:textId="09391056" w:rsidR="00D44B38" w:rsidRDefault="00D44B38">
      <w:pPr>
        <w:pStyle w:val="TOC3"/>
        <w:rPr>
          <w:rFonts w:asciiTheme="minorHAnsi" w:eastAsiaTheme="minorEastAsia" w:hAnsiTheme="minorHAnsi" w:cstheme="minorBidi"/>
          <w:noProof/>
          <w:sz w:val="22"/>
          <w:szCs w:val="22"/>
        </w:rPr>
      </w:pPr>
      <w:r>
        <w:rPr>
          <w:noProof/>
        </w:rPr>
        <w:t>Background:  Congress gave SEC pay increase flexibility in 2002  (the AFF’s plan)</w:t>
      </w:r>
      <w:r>
        <w:rPr>
          <w:noProof/>
        </w:rPr>
        <w:tab/>
      </w:r>
      <w:r>
        <w:rPr>
          <w:noProof/>
        </w:rPr>
        <w:fldChar w:fldCharType="begin"/>
      </w:r>
      <w:r>
        <w:rPr>
          <w:noProof/>
        </w:rPr>
        <w:instrText xml:space="preserve"> PAGEREF _Toc31205521 \h </w:instrText>
      </w:r>
      <w:r>
        <w:rPr>
          <w:noProof/>
        </w:rPr>
      </w:r>
      <w:r>
        <w:rPr>
          <w:noProof/>
        </w:rPr>
        <w:fldChar w:fldCharType="separate"/>
      </w:r>
      <w:r>
        <w:rPr>
          <w:noProof/>
        </w:rPr>
        <w:t>5</w:t>
      </w:r>
      <w:r>
        <w:rPr>
          <w:noProof/>
        </w:rPr>
        <w:fldChar w:fldCharType="end"/>
      </w:r>
    </w:p>
    <w:p w14:paraId="6ADF4811" w14:textId="69CDE764" w:rsidR="00D44B38" w:rsidRDefault="00D44B38">
      <w:pPr>
        <w:pStyle w:val="TOC3"/>
        <w:rPr>
          <w:rFonts w:asciiTheme="minorHAnsi" w:eastAsiaTheme="minorEastAsia" w:hAnsiTheme="minorHAnsi" w:cstheme="minorBidi"/>
          <w:noProof/>
          <w:sz w:val="22"/>
          <w:szCs w:val="22"/>
        </w:rPr>
      </w:pPr>
      <w:r>
        <w:rPr>
          <w:noProof/>
        </w:rPr>
        <w:t>Failure:  SEC employees filed a grievance with 14 complaints under the Federal Service Labor-Management Relations Statute</w:t>
      </w:r>
      <w:r>
        <w:rPr>
          <w:noProof/>
        </w:rPr>
        <w:tab/>
      </w:r>
      <w:r>
        <w:rPr>
          <w:noProof/>
        </w:rPr>
        <w:fldChar w:fldCharType="begin"/>
      </w:r>
      <w:r>
        <w:rPr>
          <w:noProof/>
        </w:rPr>
        <w:instrText xml:space="preserve"> PAGEREF _Toc31205522 \h </w:instrText>
      </w:r>
      <w:r>
        <w:rPr>
          <w:noProof/>
        </w:rPr>
      </w:r>
      <w:r>
        <w:rPr>
          <w:noProof/>
        </w:rPr>
        <w:fldChar w:fldCharType="separate"/>
      </w:r>
      <w:r>
        <w:rPr>
          <w:noProof/>
        </w:rPr>
        <w:t>6</w:t>
      </w:r>
      <w:r>
        <w:rPr>
          <w:noProof/>
        </w:rPr>
        <w:fldChar w:fldCharType="end"/>
      </w:r>
    </w:p>
    <w:p w14:paraId="12DCABC4" w14:textId="265FF55C" w:rsidR="00D44B38" w:rsidRDefault="00D44B38">
      <w:pPr>
        <w:pStyle w:val="TOC2"/>
        <w:rPr>
          <w:rFonts w:asciiTheme="minorHAnsi" w:eastAsiaTheme="minorEastAsia" w:hAnsiTheme="minorHAnsi" w:cstheme="minorBidi"/>
          <w:noProof/>
          <w:sz w:val="22"/>
          <w:szCs w:val="22"/>
        </w:rPr>
      </w:pPr>
      <w:r>
        <w:rPr>
          <w:noProof/>
        </w:rPr>
        <w:t>2.  Already Tried &amp; Failed #2:  More staff doesn’t equal more productivity</w:t>
      </w:r>
      <w:r>
        <w:rPr>
          <w:noProof/>
        </w:rPr>
        <w:tab/>
      </w:r>
      <w:r>
        <w:rPr>
          <w:noProof/>
        </w:rPr>
        <w:fldChar w:fldCharType="begin"/>
      </w:r>
      <w:r>
        <w:rPr>
          <w:noProof/>
        </w:rPr>
        <w:instrText xml:space="preserve"> PAGEREF _Toc31205523 \h </w:instrText>
      </w:r>
      <w:r>
        <w:rPr>
          <w:noProof/>
        </w:rPr>
      </w:r>
      <w:r>
        <w:rPr>
          <w:noProof/>
        </w:rPr>
        <w:fldChar w:fldCharType="separate"/>
      </w:r>
      <w:r>
        <w:rPr>
          <w:noProof/>
        </w:rPr>
        <w:t>7</w:t>
      </w:r>
      <w:r>
        <w:rPr>
          <w:noProof/>
        </w:rPr>
        <w:fldChar w:fldCharType="end"/>
      </w:r>
    </w:p>
    <w:p w14:paraId="36B62DC9" w14:textId="2AC6F0F0" w:rsidR="00D44B38" w:rsidRDefault="00D44B38">
      <w:pPr>
        <w:pStyle w:val="TOC3"/>
        <w:rPr>
          <w:rFonts w:asciiTheme="minorHAnsi" w:eastAsiaTheme="minorEastAsia" w:hAnsiTheme="minorHAnsi" w:cstheme="minorBidi"/>
          <w:noProof/>
          <w:sz w:val="22"/>
          <w:szCs w:val="22"/>
        </w:rPr>
      </w:pPr>
      <w:r>
        <w:rPr>
          <w:noProof/>
        </w:rPr>
        <w:t>Link:  SEC did the AFF Plan in 2002</w:t>
      </w:r>
      <w:r>
        <w:rPr>
          <w:noProof/>
        </w:rPr>
        <w:tab/>
      </w:r>
      <w:r>
        <w:rPr>
          <w:noProof/>
        </w:rPr>
        <w:fldChar w:fldCharType="begin"/>
      </w:r>
      <w:r>
        <w:rPr>
          <w:noProof/>
        </w:rPr>
        <w:instrText xml:space="preserve"> PAGEREF _Toc31205524 \h </w:instrText>
      </w:r>
      <w:r>
        <w:rPr>
          <w:noProof/>
        </w:rPr>
      </w:r>
      <w:r>
        <w:rPr>
          <w:noProof/>
        </w:rPr>
        <w:fldChar w:fldCharType="separate"/>
      </w:r>
      <w:r>
        <w:rPr>
          <w:noProof/>
        </w:rPr>
        <w:t>7</w:t>
      </w:r>
      <w:r>
        <w:rPr>
          <w:noProof/>
        </w:rPr>
        <w:fldChar w:fldCharType="end"/>
      </w:r>
    </w:p>
    <w:p w14:paraId="0607389D" w14:textId="5B1687A6" w:rsidR="00D44B38" w:rsidRDefault="00D44B38">
      <w:pPr>
        <w:pStyle w:val="TOC3"/>
        <w:rPr>
          <w:rFonts w:asciiTheme="minorHAnsi" w:eastAsiaTheme="minorEastAsia" w:hAnsiTheme="minorHAnsi" w:cstheme="minorBidi"/>
          <w:noProof/>
          <w:sz w:val="22"/>
          <w:szCs w:val="22"/>
        </w:rPr>
      </w:pPr>
      <w:r>
        <w:rPr>
          <w:noProof/>
        </w:rPr>
        <w:t>Failure:  SEC got more people, but didn’t get more done.  Most of the extra staff went to unnecessary functions</w:t>
      </w:r>
      <w:r>
        <w:rPr>
          <w:noProof/>
        </w:rPr>
        <w:tab/>
      </w:r>
      <w:r>
        <w:rPr>
          <w:noProof/>
        </w:rPr>
        <w:fldChar w:fldCharType="begin"/>
      </w:r>
      <w:r>
        <w:rPr>
          <w:noProof/>
        </w:rPr>
        <w:instrText xml:space="preserve"> PAGEREF _Toc31205525 \h </w:instrText>
      </w:r>
      <w:r>
        <w:rPr>
          <w:noProof/>
        </w:rPr>
      </w:r>
      <w:r>
        <w:rPr>
          <w:noProof/>
        </w:rPr>
        <w:fldChar w:fldCharType="separate"/>
      </w:r>
      <w:r>
        <w:rPr>
          <w:noProof/>
        </w:rPr>
        <w:t>7</w:t>
      </w:r>
      <w:r>
        <w:rPr>
          <w:noProof/>
        </w:rPr>
        <w:fldChar w:fldCharType="end"/>
      </w:r>
    </w:p>
    <w:p w14:paraId="5E13822D" w14:textId="19E5795E" w:rsidR="00D44B38" w:rsidRDefault="00D44B38">
      <w:pPr>
        <w:pStyle w:val="TOC3"/>
        <w:rPr>
          <w:rFonts w:asciiTheme="minorHAnsi" w:eastAsiaTheme="minorEastAsia" w:hAnsiTheme="minorHAnsi" w:cstheme="minorBidi"/>
          <w:noProof/>
          <w:sz w:val="22"/>
          <w:szCs w:val="22"/>
        </w:rPr>
      </w:pPr>
      <w:r>
        <w:rPr>
          <w:noProof/>
        </w:rPr>
        <w:t>Failure:  More staffing at SEC just bloated the bureaucracy</w:t>
      </w:r>
      <w:r>
        <w:rPr>
          <w:noProof/>
        </w:rPr>
        <w:tab/>
      </w:r>
      <w:r>
        <w:rPr>
          <w:noProof/>
        </w:rPr>
        <w:fldChar w:fldCharType="begin"/>
      </w:r>
      <w:r>
        <w:rPr>
          <w:noProof/>
        </w:rPr>
        <w:instrText xml:space="preserve"> PAGEREF _Toc31205526 \h </w:instrText>
      </w:r>
      <w:r>
        <w:rPr>
          <w:noProof/>
        </w:rPr>
      </w:r>
      <w:r>
        <w:rPr>
          <w:noProof/>
        </w:rPr>
        <w:fldChar w:fldCharType="separate"/>
      </w:r>
      <w:r>
        <w:rPr>
          <w:noProof/>
        </w:rPr>
        <w:t>7</w:t>
      </w:r>
      <w:r>
        <w:rPr>
          <w:noProof/>
        </w:rPr>
        <w:fldChar w:fldCharType="end"/>
      </w:r>
    </w:p>
    <w:p w14:paraId="2D75D975" w14:textId="5A43BC89" w:rsidR="00D44B38" w:rsidRDefault="00D44B38">
      <w:pPr>
        <w:pStyle w:val="TOC2"/>
        <w:rPr>
          <w:rFonts w:asciiTheme="minorHAnsi" w:eastAsiaTheme="minorEastAsia" w:hAnsiTheme="minorHAnsi" w:cstheme="minorBidi"/>
          <w:noProof/>
          <w:sz w:val="22"/>
          <w:szCs w:val="22"/>
        </w:rPr>
      </w:pPr>
      <w:r>
        <w:rPr>
          <w:noProof/>
        </w:rPr>
        <w:t>3.  Not solving PHMSA</w:t>
      </w:r>
      <w:r>
        <w:rPr>
          <w:noProof/>
        </w:rPr>
        <w:tab/>
      </w:r>
      <w:r>
        <w:rPr>
          <w:noProof/>
        </w:rPr>
        <w:fldChar w:fldCharType="begin"/>
      </w:r>
      <w:r>
        <w:rPr>
          <w:noProof/>
        </w:rPr>
        <w:instrText xml:space="preserve"> PAGEREF _Toc31205527 \h </w:instrText>
      </w:r>
      <w:r>
        <w:rPr>
          <w:noProof/>
        </w:rPr>
      </w:r>
      <w:r>
        <w:rPr>
          <w:noProof/>
        </w:rPr>
        <w:fldChar w:fldCharType="separate"/>
      </w:r>
      <w:r>
        <w:rPr>
          <w:noProof/>
        </w:rPr>
        <w:t>7</w:t>
      </w:r>
      <w:r>
        <w:rPr>
          <w:noProof/>
        </w:rPr>
        <w:fldChar w:fldCharType="end"/>
      </w:r>
    </w:p>
    <w:p w14:paraId="1D242091" w14:textId="5B4B8182" w:rsidR="00D44B38" w:rsidRDefault="00D44B38">
      <w:pPr>
        <w:pStyle w:val="TOC3"/>
        <w:rPr>
          <w:rFonts w:asciiTheme="minorHAnsi" w:eastAsiaTheme="minorEastAsia" w:hAnsiTheme="minorHAnsi" w:cstheme="minorBidi"/>
          <w:noProof/>
          <w:sz w:val="22"/>
          <w:szCs w:val="22"/>
        </w:rPr>
      </w:pPr>
      <w:r>
        <w:rPr>
          <w:noProof/>
        </w:rPr>
        <w:t>The US Dept. of Transportation’s Pipeline and Hazardous Materials Safety Administration is the blockage</w:t>
      </w:r>
      <w:r>
        <w:rPr>
          <w:noProof/>
        </w:rPr>
        <w:tab/>
      </w:r>
      <w:r>
        <w:rPr>
          <w:noProof/>
        </w:rPr>
        <w:fldChar w:fldCharType="begin"/>
      </w:r>
      <w:r>
        <w:rPr>
          <w:noProof/>
        </w:rPr>
        <w:instrText xml:space="preserve"> PAGEREF _Toc31205528 \h </w:instrText>
      </w:r>
      <w:r>
        <w:rPr>
          <w:noProof/>
        </w:rPr>
      </w:r>
      <w:r>
        <w:rPr>
          <w:noProof/>
        </w:rPr>
        <w:fldChar w:fldCharType="separate"/>
      </w:r>
      <w:r>
        <w:rPr>
          <w:noProof/>
        </w:rPr>
        <w:t>7</w:t>
      </w:r>
      <w:r>
        <w:rPr>
          <w:noProof/>
        </w:rPr>
        <w:fldChar w:fldCharType="end"/>
      </w:r>
    </w:p>
    <w:p w14:paraId="0E0223F6" w14:textId="188098EC" w:rsidR="00D44B38" w:rsidRDefault="00D44B38">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_Toc31205529 \h </w:instrText>
      </w:r>
      <w:r>
        <w:rPr>
          <w:noProof/>
        </w:rPr>
      </w:r>
      <w:r>
        <w:rPr>
          <w:noProof/>
        </w:rPr>
        <w:fldChar w:fldCharType="separate"/>
      </w:r>
      <w:r>
        <w:rPr>
          <w:noProof/>
        </w:rPr>
        <w:t>8</w:t>
      </w:r>
      <w:r>
        <w:rPr>
          <w:noProof/>
        </w:rPr>
        <w:fldChar w:fldCharType="end"/>
      </w:r>
    </w:p>
    <w:p w14:paraId="032A3A36" w14:textId="594940FF" w:rsidR="00D44B38" w:rsidRDefault="00D44B38">
      <w:pPr>
        <w:pStyle w:val="TOC2"/>
        <w:rPr>
          <w:rFonts w:asciiTheme="minorHAnsi" w:eastAsiaTheme="minorEastAsia" w:hAnsiTheme="minorHAnsi" w:cstheme="minorBidi"/>
          <w:noProof/>
          <w:sz w:val="22"/>
          <w:szCs w:val="22"/>
        </w:rPr>
      </w:pPr>
      <w:r>
        <w:rPr>
          <w:noProof/>
        </w:rPr>
        <w:t>1.  Federal deficits increase</w:t>
      </w:r>
      <w:r>
        <w:rPr>
          <w:noProof/>
        </w:rPr>
        <w:tab/>
      </w:r>
      <w:r>
        <w:rPr>
          <w:noProof/>
        </w:rPr>
        <w:fldChar w:fldCharType="begin"/>
      </w:r>
      <w:r>
        <w:rPr>
          <w:noProof/>
        </w:rPr>
        <w:instrText xml:space="preserve"> PAGEREF _Toc31205530 \h </w:instrText>
      </w:r>
      <w:r>
        <w:rPr>
          <w:noProof/>
        </w:rPr>
      </w:r>
      <w:r>
        <w:rPr>
          <w:noProof/>
        </w:rPr>
        <w:fldChar w:fldCharType="separate"/>
      </w:r>
      <w:r>
        <w:rPr>
          <w:noProof/>
        </w:rPr>
        <w:t>8</w:t>
      </w:r>
      <w:r>
        <w:rPr>
          <w:noProof/>
        </w:rPr>
        <w:fldChar w:fldCharType="end"/>
      </w:r>
    </w:p>
    <w:p w14:paraId="0607D2AF" w14:textId="455FAF37" w:rsidR="00D44B38" w:rsidRDefault="00D44B38">
      <w:pPr>
        <w:pStyle w:val="TOC3"/>
        <w:rPr>
          <w:rFonts w:asciiTheme="minorHAnsi" w:eastAsiaTheme="minorEastAsia" w:hAnsiTheme="minorHAnsi" w:cstheme="minorBidi"/>
          <w:noProof/>
          <w:sz w:val="22"/>
          <w:szCs w:val="22"/>
        </w:rPr>
      </w:pPr>
      <w:r>
        <w:rPr>
          <w:noProof/>
        </w:rPr>
        <w:t>Link:  AFF must be increasing funding</w:t>
      </w:r>
      <w:r>
        <w:rPr>
          <w:noProof/>
        </w:rPr>
        <w:tab/>
      </w:r>
      <w:r>
        <w:rPr>
          <w:noProof/>
        </w:rPr>
        <w:fldChar w:fldCharType="begin"/>
      </w:r>
      <w:r>
        <w:rPr>
          <w:noProof/>
        </w:rPr>
        <w:instrText xml:space="preserve"> PAGEREF _Toc31205531 \h </w:instrText>
      </w:r>
      <w:r>
        <w:rPr>
          <w:noProof/>
        </w:rPr>
      </w:r>
      <w:r>
        <w:rPr>
          <w:noProof/>
        </w:rPr>
        <w:fldChar w:fldCharType="separate"/>
      </w:r>
      <w:r>
        <w:rPr>
          <w:noProof/>
        </w:rPr>
        <w:t>8</w:t>
      </w:r>
      <w:r>
        <w:rPr>
          <w:noProof/>
        </w:rPr>
        <w:fldChar w:fldCharType="end"/>
      </w:r>
    </w:p>
    <w:p w14:paraId="752A255E" w14:textId="7FA8FFA7" w:rsidR="00D44B38" w:rsidRDefault="00D44B38">
      <w:pPr>
        <w:pStyle w:val="TOC3"/>
        <w:rPr>
          <w:rFonts w:asciiTheme="minorHAnsi" w:eastAsiaTheme="minorEastAsia" w:hAnsiTheme="minorHAnsi" w:cstheme="minorBidi"/>
          <w:noProof/>
          <w:sz w:val="22"/>
          <w:szCs w:val="22"/>
        </w:rPr>
      </w:pPr>
      <w:r>
        <w:rPr>
          <w:noProof/>
        </w:rPr>
        <w:t>Impact:   Every increase in the federal deficit hurts the economy</w:t>
      </w:r>
      <w:r>
        <w:rPr>
          <w:noProof/>
        </w:rPr>
        <w:tab/>
      </w:r>
      <w:r>
        <w:rPr>
          <w:noProof/>
        </w:rPr>
        <w:fldChar w:fldCharType="begin"/>
      </w:r>
      <w:r>
        <w:rPr>
          <w:noProof/>
        </w:rPr>
        <w:instrText xml:space="preserve"> PAGEREF _Toc31205532 \h </w:instrText>
      </w:r>
      <w:r>
        <w:rPr>
          <w:noProof/>
        </w:rPr>
      </w:r>
      <w:r>
        <w:rPr>
          <w:noProof/>
        </w:rPr>
        <w:fldChar w:fldCharType="separate"/>
      </w:r>
      <w:r>
        <w:rPr>
          <w:noProof/>
        </w:rPr>
        <w:t>8</w:t>
      </w:r>
      <w:r>
        <w:rPr>
          <w:noProof/>
        </w:rPr>
        <w:fldChar w:fldCharType="end"/>
      </w:r>
    </w:p>
    <w:p w14:paraId="6CE874E8" w14:textId="5F716E2C" w:rsidR="00D44B38" w:rsidRDefault="00D44B38">
      <w:pPr>
        <w:pStyle w:val="TOC2"/>
        <w:rPr>
          <w:rFonts w:asciiTheme="minorHAnsi" w:eastAsiaTheme="minorEastAsia" w:hAnsiTheme="minorHAnsi" w:cstheme="minorBidi"/>
          <w:noProof/>
          <w:sz w:val="22"/>
          <w:szCs w:val="22"/>
        </w:rPr>
      </w:pPr>
      <w:r>
        <w:rPr>
          <w:noProof/>
        </w:rPr>
        <w:t>2.  Fracking</w:t>
      </w:r>
      <w:r>
        <w:rPr>
          <w:noProof/>
        </w:rPr>
        <w:tab/>
      </w:r>
      <w:r>
        <w:rPr>
          <w:noProof/>
        </w:rPr>
        <w:fldChar w:fldCharType="begin"/>
      </w:r>
      <w:r>
        <w:rPr>
          <w:noProof/>
        </w:rPr>
        <w:instrText xml:space="preserve"> PAGEREF _Toc31205533 \h </w:instrText>
      </w:r>
      <w:r>
        <w:rPr>
          <w:noProof/>
        </w:rPr>
      </w:r>
      <w:r>
        <w:rPr>
          <w:noProof/>
        </w:rPr>
        <w:fldChar w:fldCharType="separate"/>
      </w:r>
      <w:r>
        <w:rPr>
          <w:noProof/>
        </w:rPr>
        <w:t>8</w:t>
      </w:r>
      <w:r>
        <w:rPr>
          <w:noProof/>
        </w:rPr>
        <w:fldChar w:fldCharType="end"/>
      </w:r>
    </w:p>
    <w:p w14:paraId="2CD9DD3F" w14:textId="292C4A85" w:rsidR="00D44B38" w:rsidRDefault="00D44B38">
      <w:pPr>
        <w:pStyle w:val="TOC3"/>
        <w:rPr>
          <w:rFonts w:asciiTheme="minorHAnsi" w:eastAsiaTheme="minorEastAsia" w:hAnsiTheme="minorHAnsi" w:cstheme="minorBidi"/>
          <w:noProof/>
          <w:sz w:val="22"/>
          <w:szCs w:val="22"/>
        </w:rPr>
      </w:pPr>
      <w:r>
        <w:rPr>
          <w:noProof/>
        </w:rPr>
        <w:t>Link:  Increasing FERC salaries is intended to speed up / increase Liquefied Natural Gas terminals for exports</w:t>
      </w:r>
      <w:r>
        <w:rPr>
          <w:noProof/>
        </w:rPr>
        <w:tab/>
      </w:r>
      <w:r>
        <w:rPr>
          <w:noProof/>
        </w:rPr>
        <w:fldChar w:fldCharType="begin"/>
      </w:r>
      <w:r>
        <w:rPr>
          <w:noProof/>
        </w:rPr>
        <w:instrText xml:space="preserve"> PAGEREF _Toc31205534 \h </w:instrText>
      </w:r>
      <w:r>
        <w:rPr>
          <w:noProof/>
        </w:rPr>
      </w:r>
      <w:r>
        <w:rPr>
          <w:noProof/>
        </w:rPr>
        <w:fldChar w:fldCharType="separate"/>
      </w:r>
      <w:r>
        <w:rPr>
          <w:noProof/>
        </w:rPr>
        <w:t>8</w:t>
      </w:r>
      <w:r>
        <w:rPr>
          <w:noProof/>
        </w:rPr>
        <w:fldChar w:fldCharType="end"/>
      </w:r>
    </w:p>
    <w:p w14:paraId="3D098231" w14:textId="16E33B15" w:rsidR="00D44B38" w:rsidRDefault="00D44B38">
      <w:pPr>
        <w:pStyle w:val="TOC3"/>
        <w:rPr>
          <w:rFonts w:asciiTheme="minorHAnsi" w:eastAsiaTheme="minorEastAsia" w:hAnsiTheme="minorHAnsi" w:cstheme="minorBidi"/>
          <w:noProof/>
          <w:sz w:val="22"/>
          <w:szCs w:val="22"/>
        </w:rPr>
      </w:pPr>
      <w:r>
        <w:rPr>
          <w:noProof/>
        </w:rPr>
        <w:t>Link:  Increased LNG exports = Big increase in fracking for more natural gas in the US</w:t>
      </w:r>
      <w:r>
        <w:rPr>
          <w:noProof/>
        </w:rPr>
        <w:tab/>
      </w:r>
      <w:r>
        <w:rPr>
          <w:noProof/>
        </w:rPr>
        <w:fldChar w:fldCharType="begin"/>
      </w:r>
      <w:r>
        <w:rPr>
          <w:noProof/>
        </w:rPr>
        <w:instrText xml:space="preserve"> PAGEREF _Toc31205535 \h </w:instrText>
      </w:r>
      <w:r>
        <w:rPr>
          <w:noProof/>
        </w:rPr>
      </w:r>
      <w:r>
        <w:rPr>
          <w:noProof/>
        </w:rPr>
        <w:fldChar w:fldCharType="separate"/>
      </w:r>
      <w:r>
        <w:rPr>
          <w:noProof/>
        </w:rPr>
        <w:t>8</w:t>
      </w:r>
      <w:r>
        <w:rPr>
          <w:noProof/>
        </w:rPr>
        <w:fldChar w:fldCharType="end"/>
      </w:r>
    </w:p>
    <w:p w14:paraId="30D47681" w14:textId="50BABC02" w:rsidR="00D44B38" w:rsidRDefault="00D44B38">
      <w:pPr>
        <w:pStyle w:val="TOC3"/>
        <w:rPr>
          <w:rFonts w:asciiTheme="minorHAnsi" w:eastAsiaTheme="minorEastAsia" w:hAnsiTheme="minorHAnsi" w:cstheme="minorBidi"/>
          <w:noProof/>
          <w:sz w:val="22"/>
          <w:szCs w:val="22"/>
        </w:rPr>
      </w:pPr>
      <w:r>
        <w:rPr>
          <w:noProof/>
        </w:rPr>
        <w:lastRenderedPageBreak/>
        <w:t>Impact:  Air pollution, sickness and death</w:t>
      </w:r>
      <w:r>
        <w:rPr>
          <w:noProof/>
        </w:rPr>
        <w:tab/>
      </w:r>
      <w:r>
        <w:rPr>
          <w:noProof/>
        </w:rPr>
        <w:fldChar w:fldCharType="begin"/>
      </w:r>
      <w:r>
        <w:rPr>
          <w:noProof/>
        </w:rPr>
        <w:instrText xml:space="preserve"> PAGEREF _Toc31205536 \h </w:instrText>
      </w:r>
      <w:r>
        <w:rPr>
          <w:noProof/>
        </w:rPr>
      </w:r>
      <w:r>
        <w:rPr>
          <w:noProof/>
        </w:rPr>
        <w:fldChar w:fldCharType="separate"/>
      </w:r>
      <w:r>
        <w:rPr>
          <w:noProof/>
        </w:rPr>
        <w:t>9</w:t>
      </w:r>
      <w:r>
        <w:rPr>
          <w:noProof/>
        </w:rPr>
        <w:fldChar w:fldCharType="end"/>
      </w:r>
    </w:p>
    <w:p w14:paraId="61D3117F" w14:textId="3500675C" w:rsidR="00D44B38" w:rsidRDefault="00D44B38">
      <w:pPr>
        <w:pStyle w:val="TOC3"/>
        <w:rPr>
          <w:rFonts w:asciiTheme="minorHAnsi" w:eastAsiaTheme="minorEastAsia" w:hAnsiTheme="minorHAnsi" w:cstheme="minorBidi"/>
          <w:noProof/>
          <w:sz w:val="22"/>
          <w:szCs w:val="22"/>
        </w:rPr>
      </w:pPr>
      <w:r>
        <w:rPr>
          <w:noProof/>
        </w:rPr>
        <w:t>Impact:  Contaminated groundwater</w:t>
      </w:r>
      <w:r>
        <w:rPr>
          <w:noProof/>
        </w:rPr>
        <w:tab/>
      </w:r>
      <w:r>
        <w:rPr>
          <w:noProof/>
        </w:rPr>
        <w:fldChar w:fldCharType="begin"/>
      </w:r>
      <w:r>
        <w:rPr>
          <w:noProof/>
        </w:rPr>
        <w:instrText xml:space="preserve"> PAGEREF _Toc31205537 \h </w:instrText>
      </w:r>
      <w:r>
        <w:rPr>
          <w:noProof/>
        </w:rPr>
      </w:r>
      <w:r>
        <w:rPr>
          <w:noProof/>
        </w:rPr>
        <w:fldChar w:fldCharType="separate"/>
      </w:r>
      <w:r>
        <w:rPr>
          <w:noProof/>
        </w:rPr>
        <w:t>9</w:t>
      </w:r>
      <w:r>
        <w:rPr>
          <w:noProof/>
        </w:rPr>
        <w:fldChar w:fldCharType="end"/>
      </w:r>
    </w:p>
    <w:p w14:paraId="79531EC8" w14:textId="6E46219F" w:rsidR="00D44B38" w:rsidRDefault="00D44B38">
      <w:pPr>
        <w:pStyle w:val="TOC3"/>
        <w:rPr>
          <w:rFonts w:asciiTheme="minorHAnsi" w:eastAsiaTheme="minorEastAsia" w:hAnsiTheme="minorHAnsi" w:cstheme="minorBidi"/>
          <w:noProof/>
          <w:sz w:val="22"/>
          <w:szCs w:val="22"/>
        </w:rPr>
      </w:pPr>
      <w:r>
        <w:rPr>
          <w:noProof/>
        </w:rPr>
        <w:t>Impact:  Earthquakes and toxic wastewater</w:t>
      </w:r>
      <w:r>
        <w:rPr>
          <w:noProof/>
        </w:rPr>
        <w:tab/>
      </w:r>
      <w:r>
        <w:rPr>
          <w:noProof/>
        </w:rPr>
        <w:fldChar w:fldCharType="begin"/>
      </w:r>
      <w:r>
        <w:rPr>
          <w:noProof/>
        </w:rPr>
        <w:instrText xml:space="preserve"> PAGEREF _Toc31205538 \h </w:instrText>
      </w:r>
      <w:r>
        <w:rPr>
          <w:noProof/>
        </w:rPr>
      </w:r>
      <w:r>
        <w:rPr>
          <w:noProof/>
        </w:rPr>
        <w:fldChar w:fldCharType="separate"/>
      </w:r>
      <w:r>
        <w:rPr>
          <w:noProof/>
        </w:rPr>
        <w:t>9</w:t>
      </w:r>
      <w:r>
        <w:rPr>
          <w:noProof/>
        </w:rPr>
        <w:fldChar w:fldCharType="end"/>
      </w:r>
    </w:p>
    <w:p w14:paraId="04D0E335" w14:textId="44328C45" w:rsidR="00D44B38" w:rsidRDefault="00D44B38">
      <w:pPr>
        <w:pStyle w:val="TOC3"/>
        <w:rPr>
          <w:rFonts w:asciiTheme="minorHAnsi" w:eastAsiaTheme="minorEastAsia" w:hAnsiTheme="minorHAnsi" w:cstheme="minorBidi"/>
          <w:noProof/>
          <w:sz w:val="22"/>
          <w:szCs w:val="22"/>
        </w:rPr>
      </w:pPr>
      <w:r>
        <w:rPr>
          <w:noProof/>
        </w:rPr>
        <w:t>Impact:  Harm to human health</w:t>
      </w:r>
      <w:r>
        <w:rPr>
          <w:noProof/>
        </w:rPr>
        <w:tab/>
      </w:r>
      <w:r>
        <w:rPr>
          <w:noProof/>
        </w:rPr>
        <w:fldChar w:fldCharType="begin"/>
      </w:r>
      <w:r>
        <w:rPr>
          <w:noProof/>
        </w:rPr>
        <w:instrText xml:space="preserve"> PAGEREF _Toc31205539 \h </w:instrText>
      </w:r>
      <w:r>
        <w:rPr>
          <w:noProof/>
        </w:rPr>
      </w:r>
      <w:r>
        <w:rPr>
          <w:noProof/>
        </w:rPr>
        <w:fldChar w:fldCharType="separate"/>
      </w:r>
      <w:r>
        <w:rPr>
          <w:noProof/>
        </w:rPr>
        <w:t>10</w:t>
      </w:r>
      <w:r>
        <w:rPr>
          <w:noProof/>
        </w:rPr>
        <w:fldChar w:fldCharType="end"/>
      </w:r>
    </w:p>
    <w:p w14:paraId="72B2FDF3" w14:textId="67041698" w:rsidR="009B2AAB" w:rsidRDefault="00284CD6" w:rsidP="00AC508B">
      <w:pPr>
        <w:pStyle w:val="Title2"/>
      </w:pPr>
      <w:r>
        <w:rPr>
          <w:sz w:val="22"/>
        </w:rPr>
        <w:lastRenderedPageBreak/>
        <w:fldChar w:fldCharType="end"/>
      </w:r>
      <w:bookmarkStart w:id="1" w:name="_Toc31205502"/>
      <w:r>
        <w:t xml:space="preserve">Negative:  </w:t>
      </w:r>
      <w:r w:rsidR="00BF7C11">
        <w:t>FERC Salaries – not a problem</w:t>
      </w:r>
      <w:bookmarkEnd w:id="1"/>
    </w:p>
    <w:p w14:paraId="17EC8459" w14:textId="77777777" w:rsidR="00F729F6" w:rsidRDefault="00F729F6" w:rsidP="003A5DF7">
      <w:pPr>
        <w:pStyle w:val="Contention1"/>
      </w:pPr>
    </w:p>
    <w:p w14:paraId="397D1D8D" w14:textId="06CF3A99" w:rsidR="005B3420" w:rsidRDefault="005B3420" w:rsidP="003A5DF7">
      <w:pPr>
        <w:pStyle w:val="Contention1"/>
      </w:pPr>
      <w:bookmarkStart w:id="2" w:name="_Toc31205503"/>
      <w:r>
        <w:t>TOPICALITY</w:t>
      </w:r>
      <w:bookmarkEnd w:id="2"/>
    </w:p>
    <w:p w14:paraId="49418F06" w14:textId="0AA00AA3" w:rsidR="005B3420" w:rsidRDefault="005B3420" w:rsidP="003A5DF7">
      <w:pPr>
        <w:pStyle w:val="Contention1"/>
      </w:pPr>
    </w:p>
    <w:p w14:paraId="230EBA0D" w14:textId="543F88CB" w:rsidR="007E59FF" w:rsidRDefault="008908D6" w:rsidP="008908D6">
      <w:pPr>
        <w:pStyle w:val="Contention1"/>
      </w:pPr>
      <w:bookmarkStart w:id="3" w:name="_Toc31205504"/>
      <w:r>
        <w:t xml:space="preserve">1.  Not </w:t>
      </w:r>
      <w:proofErr w:type="gramStart"/>
      <w:r>
        <w:t>Substantial</w:t>
      </w:r>
      <w:r w:rsidR="005C04F2">
        <w:t xml:space="preserve"> </w:t>
      </w:r>
      <w:r w:rsidR="005B3420">
        <w:t xml:space="preserve"> reform</w:t>
      </w:r>
      <w:bookmarkEnd w:id="3"/>
      <w:proofErr w:type="gramEnd"/>
      <w:r w:rsidR="005C04F2">
        <w:t xml:space="preserve"> </w:t>
      </w:r>
    </w:p>
    <w:p w14:paraId="246FB5FB" w14:textId="20D0E7EF" w:rsidR="008908D6" w:rsidRDefault="008908D6" w:rsidP="008908D6">
      <w:pPr>
        <w:pStyle w:val="Contention1"/>
      </w:pPr>
    </w:p>
    <w:p w14:paraId="095E9165" w14:textId="095D5C92" w:rsidR="00F15868" w:rsidRDefault="00F15868" w:rsidP="00F15868">
      <w:pPr>
        <w:pStyle w:val="Contention2"/>
      </w:pPr>
      <w:bookmarkStart w:id="4" w:name="_Toc31205505"/>
      <w:r>
        <w:t xml:space="preserve">Link:  No dollar </w:t>
      </w:r>
      <w:proofErr w:type="gramStart"/>
      <w:r>
        <w:t>value .</w:t>
      </w:r>
      <w:proofErr w:type="gramEnd"/>
      <w:r>
        <w:t xml:space="preserve">  The text of the bill </w:t>
      </w:r>
      <w:proofErr w:type="gramStart"/>
      <w:r>
        <w:t>doesn’t</w:t>
      </w:r>
      <w:proofErr w:type="gramEnd"/>
      <w:r>
        <w:t xml:space="preserve"> say how much it will raise FERC salaries, it just says the Chairman can raise them if he wants to</w:t>
      </w:r>
      <w:bookmarkEnd w:id="4"/>
    </w:p>
    <w:p w14:paraId="0728F37A" w14:textId="7A8B4E26" w:rsidR="00F15868" w:rsidRDefault="00F15868" w:rsidP="00F15868">
      <w:pPr>
        <w:pStyle w:val="Citation3"/>
      </w:pPr>
      <w:r w:rsidRPr="00F15868">
        <w:rPr>
          <w:u w:val="single"/>
        </w:rPr>
        <w:t>Text of H.R. 1426    2019.</w:t>
      </w:r>
      <w:r>
        <w:t xml:space="preserve"> (</w:t>
      </w:r>
      <w:proofErr w:type="gramStart"/>
      <w:r>
        <w:t>written</w:t>
      </w:r>
      <w:proofErr w:type="gramEnd"/>
      <w:r>
        <w:t xml:space="preserve"> by Rep. Pete Olson  R-Texas) “</w:t>
      </w:r>
      <w:r w:rsidR="00D00199">
        <w:t>‘Timely Review of In</w:t>
      </w:r>
      <w:r>
        <w:t>frastructure Act’’.</w:t>
      </w:r>
      <w:hyperlink r:id="rId7" w:history="1">
        <w:r>
          <w:rPr>
            <w:rStyle w:val="Hyperlink"/>
          </w:rPr>
          <w:t>https://olson.house.gov/sites/olson.house.gov/files/wysiwyg_uploaded/OLSON_003_xml.pdf</w:t>
        </w:r>
      </w:hyperlink>
    </w:p>
    <w:p w14:paraId="25731137" w14:textId="77777777" w:rsidR="00F15868" w:rsidRDefault="00F15868" w:rsidP="008908D6">
      <w:pPr>
        <w:pStyle w:val="Contention1"/>
      </w:pPr>
    </w:p>
    <w:p w14:paraId="463B92EB" w14:textId="4E894C65" w:rsidR="008908D6" w:rsidRDefault="00F15868" w:rsidP="00F15868">
      <w:pPr>
        <w:pStyle w:val="Evidence"/>
      </w:pPr>
      <w:r>
        <w:rPr>
          <w:noProof/>
          <w:lang w:eastAsia="en-US"/>
        </w:rPr>
        <w:drawing>
          <wp:inline distT="0" distB="0" distL="0" distR="0" wp14:anchorId="2CB0A8EA" wp14:editId="08E4D3A2">
            <wp:extent cx="3083304" cy="27241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0473" cy="2748155"/>
                    </a:xfrm>
                    <a:prstGeom prst="rect">
                      <a:avLst/>
                    </a:prstGeom>
                    <a:noFill/>
                    <a:ln>
                      <a:noFill/>
                    </a:ln>
                  </pic:spPr>
                </pic:pic>
              </a:graphicData>
            </a:graphic>
          </wp:inline>
        </w:drawing>
      </w:r>
    </w:p>
    <w:p w14:paraId="0444AE1D" w14:textId="1847F681" w:rsidR="00D00199" w:rsidRDefault="00D00199" w:rsidP="00F15868">
      <w:pPr>
        <w:pStyle w:val="Evidence"/>
      </w:pPr>
    </w:p>
    <w:p w14:paraId="1BC8607F" w14:textId="636E3CF0" w:rsidR="00D00199" w:rsidRDefault="00D00199" w:rsidP="00D00199">
      <w:pPr>
        <w:pStyle w:val="Contention2"/>
      </w:pPr>
      <w:bookmarkStart w:id="5" w:name="_Toc31205506"/>
      <w:r>
        <w:t>Link:   No percentage change</w:t>
      </w:r>
      <w:bookmarkEnd w:id="5"/>
    </w:p>
    <w:p w14:paraId="1724B010" w14:textId="67E566F6" w:rsidR="00D00199" w:rsidRDefault="00D00199" w:rsidP="00D00199">
      <w:pPr>
        <w:pStyle w:val="Evidence"/>
      </w:pPr>
      <w:r>
        <w:t xml:space="preserve">If you </w:t>
      </w:r>
      <w:proofErr w:type="gramStart"/>
      <w:r>
        <w:t>don’t</w:t>
      </w:r>
      <w:proofErr w:type="gramEnd"/>
      <w:r>
        <w:t xml:space="preserve"> know how much salaries are going to go up, you don’t know whether this will be a significant reform.</w:t>
      </w:r>
    </w:p>
    <w:p w14:paraId="66ABD64A" w14:textId="7CE6036E" w:rsidR="00D00199" w:rsidRDefault="00D00199" w:rsidP="00D00199">
      <w:pPr>
        <w:pStyle w:val="Evidence"/>
      </w:pPr>
    </w:p>
    <w:p w14:paraId="1F1E8D52" w14:textId="7F4BBDED" w:rsidR="00D00199" w:rsidRDefault="00D00199" w:rsidP="00D00199">
      <w:pPr>
        <w:pStyle w:val="Contention2"/>
      </w:pPr>
      <w:bookmarkStart w:id="6" w:name="_Toc31205507"/>
      <w:r>
        <w:t xml:space="preserve">Violation:  AFF has the burden to </w:t>
      </w:r>
      <w:proofErr w:type="gramStart"/>
      <w:r>
        <w:t>prove in the 1AC their plan is topical</w:t>
      </w:r>
      <w:bookmarkEnd w:id="6"/>
      <w:proofErr w:type="gramEnd"/>
    </w:p>
    <w:p w14:paraId="17C23086" w14:textId="306C589A" w:rsidR="00D00199" w:rsidRDefault="00D00199" w:rsidP="00D00199">
      <w:pPr>
        <w:pStyle w:val="Evidence"/>
      </w:pPr>
      <w:r>
        <w:t xml:space="preserve">They </w:t>
      </w:r>
      <w:proofErr w:type="gramStart"/>
      <w:r>
        <w:t>can’t</w:t>
      </w:r>
      <w:proofErr w:type="gramEnd"/>
      <w:r>
        <w:t xml:space="preserve"> write a plan and then hope that later on it will turn out to be a substantial reform.  They had to prove substantial reform in the 1AC by proving the Chairman will substantially reform US energy policy.</w:t>
      </w:r>
    </w:p>
    <w:p w14:paraId="478FE316" w14:textId="5DE31C55" w:rsidR="00D00199" w:rsidRDefault="00D00199" w:rsidP="00D00199">
      <w:pPr>
        <w:pStyle w:val="Evidence"/>
      </w:pPr>
    </w:p>
    <w:p w14:paraId="6CC2DA9F" w14:textId="10BA3FF7" w:rsidR="00D00199" w:rsidRDefault="00D00199" w:rsidP="00D00199">
      <w:pPr>
        <w:pStyle w:val="Contention2"/>
      </w:pPr>
      <w:bookmarkStart w:id="7" w:name="_Toc31205508"/>
      <w:r>
        <w:t>Impact:  NEG ballot</w:t>
      </w:r>
      <w:bookmarkEnd w:id="7"/>
    </w:p>
    <w:p w14:paraId="543499FB" w14:textId="6A73C254" w:rsidR="00D00199" w:rsidRDefault="00D00199" w:rsidP="00D00199">
      <w:pPr>
        <w:pStyle w:val="Evidence"/>
      </w:pPr>
      <w:r>
        <w:t xml:space="preserve">Since </w:t>
      </w:r>
      <w:proofErr w:type="gramStart"/>
      <w:r>
        <w:t>no</w:t>
      </w:r>
      <w:proofErr w:type="gramEnd"/>
      <w:r>
        <w:t xml:space="preserve"> one showed up to affirm the resolution, no matter who wins, you should write NEGATIVE on the ballot.</w:t>
      </w:r>
    </w:p>
    <w:p w14:paraId="0D5D0667" w14:textId="77777777" w:rsidR="008908D6" w:rsidRDefault="008908D6" w:rsidP="008908D6">
      <w:pPr>
        <w:pStyle w:val="Contention1"/>
      </w:pPr>
    </w:p>
    <w:p w14:paraId="4C06C32F" w14:textId="7CFBC332" w:rsidR="005D365E" w:rsidRDefault="005D365E" w:rsidP="00743FAE">
      <w:pPr>
        <w:pStyle w:val="Contention1"/>
      </w:pPr>
      <w:bookmarkStart w:id="8" w:name="_Toc31205509"/>
      <w:r>
        <w:t>INHERENCY</w:t>
      </w:r>
      <w:bookmarkEnd w:id="8"/>
    </w:p>
    <w:p w14:paraId="617C4255" w14:textId="280A883C" w:rsidR="005D365E" w:rsidRDefault="005D365E" w:rsidP="00743FAE">
      <w:pPr>
        <w:pStyle w:val="Contention1"/>
      </w:pPr>
    </w:p>
    <w:p w14:paraId="37193C0A" w14:textId="58C7985E" w:rsidR="005D365E" w:rsidRDefault="005D365E" w:rsidP="00743FAE">
      <w:pPr>
        <w:pStyle w:val="Contention1"/>
      </w:pPr>
      <w:bookmarkStart w:id="9" w:name="_Toc31205510"/>
      <w:r>
        <w:t xml:space="preserve">1.  </w:t>
      </w:r>
      <w:proofErr w:type="gramStart"/>
      <w:r>
        <w:t>Outside</w:t>
      </w:r>
      <w:proofErr w:type="gramEnd"/>
      <w:r>
        <w:t xml:space="preserve"> contractors</w:t>
      </w:r>
      <w:bookmarkEnd w:id="9"/>
    </w:p>
    <w:p w14:paraId="7C2D28F5" w14:textId="0E60B32A" w:rsidR="005D365E" w:rsidRDefault="005D365E" w:rsidP="00743FAE">
      <w:pPr>
        <w:pStyle w:val="Contention1"/>
      </w:pPr>
    </w:p>
    <w:p w14:paraId="0101D858" w14:textId="66FEC19B" w:rsidR="005D365E" w:rsidRDefault="005D365E" w:rsidP="005D365E">
      <w:pPr>
        <w:pStyle w:val="Contention2"/>
      </w:pPr>
      <w:bookmarkStart w:id="10" w:name="_Toc31205511"/>
      <w:r>
        <w:t>FERC can bring in outside contractors temporarily to solve the backlog</w:t>
      </w:r>
      <w:bookmarkEnd w:id="10"/>
    </w:p>
    <w:p w14:paraId="60E915FF" w14:textId="2E89BE62" w:rsidR="005D365E" w:rsidRPr="005D365E" w:rsidRDefault="005D365E" w:rsidP="005D365E">
      <w:pPr>
        <w:pStyle w:val="Citation3"/>
      </w:pPr>
      <w:r w:rsidRPr="005D365E">
        <w:rPr>
          <w:u w:val="single"/>
        </w:rPr>
        <w:t>Bloomberg news 2018</w:t>
      </w:r>
      <w:r w:rsidRPr="005D365E">
        <w:t xml:space="preserve"> (news agency) 12 July 2018 “U.S. LNG Export Projects Face Long Permitting Delays” </w:t>
      </w:r>
      <w:hyperlink r:id="rId9" w:history="1">
        <w:r w:rsidRPr="005D365E">
          <w:rPr>
            <w:rStyle w:val="Hyperlink"/>
            <w:color w:val="auto"/>
            <w:u w:val="none"/>
          </w:rPr>
          <w:t>https://gcaptain.com/u-s-lng-export-projects-face-long-permitting-delays/</w:t>
        </w:r>
      </w:hyperlink>
    </w:p>
    <w:p w14:paraId="03876565" w14:textId="491A783D" w:rsidR="005D365E" w:rsidRDefault="005D365E" w:rsidP="005D365E">
      <w:pPr>
        <w:pStyle w:val="Evidence"/>
      </w:pPr>
      <w:r w:rsidRPr="005D365E">
        <w:t xml:space="preserve">At the FERC, Chairman Kevin McIntyre is keen to hire private contractors for the first time to help work through LNG reviews. Two weeks ago, the agency sent letters to nine LNG developers requesting </w:t>
      </w:r>
      <w:proofErr w:type="gramStart"/>
      <w:r w:rsidRPr="005D365E">
        <w:t>they</w:t>
      </w:r>
      <w:proofErr w:type="gramEnd"/>
      <w:r w:rsidRPr="005D365E">
        <w:t xml:space="preserve"> “consider providing a third-party contractor to assist” FERC staff in their reviews — specifically for evaluating fire-safety protections.</w:t>
      </w:r>
    </w:p>
    <w:p w14:paraId="17838EBC" w14:textId="3C3D9E69" w:rsidR="00DB65A5" w:rsidRDefault="00DB65A5" w:rsidP="005D365E">
      <w:pPr>
        <w:pStyle w:val="Evidence"/>
      </w:pPr>
    </w:p>
    <w:p w14:paraId="22F2EE93" w14:textId="7FDCE3EC" w:rsidR="00DB65A5" w:rsidRDefault="00DB65A5" w:rsidP="00DB65A5">
      <w:pPr>
        <w:pStyle w:val="Contention1"/>
      </w:pPr>
      <w:bookmarkStart w:id="11" w:name="_Toc31205512"/>
      <w:r>
        <w:t>2.  LNG exports rapidly increasing</w:t>
      </w:r>
      <w:bookmarkEnd w:id="11"/>
    </w:p>
    <w:p w14:paraId="5820CA25" w14:textId="6CF718C5" w:rsidR="00DB65A5" w:rsidRDefault="00DB65A5" w:rsidP="00DB65A5">
      <w:pPr>
        <w:pStyle w:val="Contention1"/>
      </w:pPr>
    </w:p>
    <w:p w14:paraId="5E7E2318" w14:textId="66006A5F" w:rsidR="00DB65A5" w:rsidRDefault="00DB65A5" w:rsidP="00DB65A5">
      <w:pPr>
        <w:pStyle w:val="Contention2"/>
      </w:pPr>
      <w:bookmarkStart w:id="12" w:name="_Toc31205513"/>
      <w:r>
        <w:t xml:space="preserve">Despite the “barriers” claimed by AFF (FERC blocking LNG exports), in fact, they are increasing </w:t>
      </w:r>
      <w:r w:rsidR="00F65686">
        <w:t xml:space="preserve">continuously and </w:t>
      </w:r>
      <w:r>
        <w:t>dramatically in Status Quo</w:t>
      </w:r>
      <w:bookmarkEnd w:id="12"/>
    </w:p>
    <w:p w14:paraId="65593FCC" w14:textId="77C97186" w:rsidR="00DB65A5" w:rsidRDefault="00DB65A5" w:rsidP="00DB65A5">
      <w:pPr>
        <w:pStyle w:val="Citation3"/>
      </w:pPr>
      <w:r w:rsidRPr="00DB65A5">
        <w:rPr>
          <w:u w:val="single"/>
        </w:rPr>
        <w:t>US Energy Information Administration 2018</w:t>
      </w:r>
      <w:r w:rsidRPr="00DB65A5">
        <w:t xml:space="preserve"> (agency of the US </w:t>
      </w:r>
      <w:proofErr w:type="spellStart"/>
      <w:r w:rsidRPr="00DB65A5">
        <w:t>Dept</w:t>
      </w:r>
      <w:proofErr w:type="spellEnd"/>
      <w:r w:rsidRPr="00DB65A5">
        <w:t xml:space="preserve"> of Energy) 27 Mar 2018 </w:t>
      </w:r>
      <w:hyperlink r:id="rId10" w:history="1">
        <w:r w:rsidRPr="00DB65A5">
          <w:rPr>
            <w:rStyle w:val="Hyperlink"/>
            <w:color w:val="auto"/>
            <w:u w:val="none"/>
          </w:rPr>
          <w:t>U.S. liquefied natural gas exports quadrupled in 2017</w:t>
        </w:r>
      </w:hyperlink>
      <w:r>
        <w:t xml:space="preserve">  </w:t>
      </w:r>
      <w:hyperlink r:id="rId11" w:history="1">
        <w:r>
          <w:rPr>
            <w:rStyle w:val="Hyperlink"/>
          </w:rPr>
          <w:t>https://www.eia.gov/todayinenergy/detail.php?id=35512</w:t>
        </w:r>
      </w:hyperlink>
    </w:p>
    <w:p w14:paraId="2DB501A7" w14:textId="307A5584" w:rsidR="00DB65A5" w:rsidRPr="00DB65A5" w:rsidRDefault="00DB65A5" w:rsidP="00DB65A5">
      <w:pPr>
        <w:pStyle w:val="Evidence"/>
      </w:pPr>
      <w:r w:rsidRPr="00DB65A5">
        <w:t xml:space="preserve">The increase in LNG exports over the past two years is the result of the continuing expansion of U.S. LNG export capacity. </w:t>
      </w:r>
      <w:proofErr w:type="gramStart"/>
      <w:r w:rsidRPr="00DB65A5">
        <w:t xml:space="preserve">Two LNG projects—Sabine Pass in Louisiana and Cove Point in Maryland—have come online since 2016, increasing U.S. LNG export capacity to 3.6 </w:t>
      </w:r>
      <w:proofErr w:type="spellStart"/>
      <w:r w:rsidRPr="00DB65A5">
        <w:t>Bcf</w:t>
      </w:r>
      <w:proofErr w:type="spellEnd"/>
      <w:r w:rsidRPr="00DB65A5">
        <w:t xml:space="preserve">/d. </w:t>
      </w:r>
      <w:hyperlink r:id="rId12" w:history="1">
        <w:r w:rsidRPr="00DB65A5">
          <w:rPr>
            <w:rStyle w:val="Hyperlink"/>
            <w:rFonts w:eastAsia="Arial"/>
            <w:color w:val="000000"/>
            <w:u w:val="none"/>
          </w:rPr>
          <w:t>Four more projects are scheduled to come online</w:t>
        </w:r>
      </w:hyperlink>
      <w:r w:rsidRPr="00DB65A5">
        <w:t> in the next two years: Elba Island LNG in Georgia and Cameron LNG in Louisiana in 2018, then Freeport LNG and Corpus Christi LNG in Texas in 2019.</w:t>
      </w:r>
      <w:proofErr w:type="gramEnd"/>
      <w:r w:rsidRPr="00DB65A5">
        <w:t xml:space="preserve"> Once completed, U.S. LNG export capacity </w:t>
      </w:r>
      <w:proofErr w:type="gramStart"/>
      <w:r w:rsidRPr="00DB65A5">
        <w:t>is expected</w:t>
      </w:r>
      <w:proofErr w:type="gramEnd"/>
      <w:r w:rsidRPr="00DB65A5">
        <w:t xml:space="preserve"> to reach 9.6 </w:t>
      </w:r>
      <w:proofErr w:type="spellStart"/>
      <w:r w:rsidRPr="00DB65A5">
        <w:t>Bcf</w:t>
      </w:r>
      <w:proofErr w:type="spellEnd"/>
      <w:r w:rsidRPr="00DB65A5">
        <w:t xml:space="preserve">/d by the end of 2019. As export capacity continues to increase, the United States </w:t>
      </w:r>
      <w:proofErr w:type="gramStart"/>
      <w:r w:rsidRPr="00DB65A5">
        <w:t>is projected</w:t>
      </w:r>
      <w:proofErr w:type="gramEnd"/>
      <w:r w:rsidRPr="00DB65A5">
        <w:t xml:space="preserve"> to become the third-largest LNG exporter in the world by 2020, surpassing Malaysia and remaining behind only Australia and Qatar</w:t>
      </w:r>
    </w:p>
    <w:p w14:paraId="45A6551E" w14:textId="77777777" w:rsidR="00DB65A5" w:rsidRPr="005D365E" w:rsidRDefault="00DB65A5" w:rsidP="005D365E">
      <w:pPr>
        <w:pStyle w:val="Evidence"/>
      </w:pPr>
    </w:p>
    <w:p w14:paraId="02432BFE" w14:textId="591B37E4" w:rsidR="008908D6" w:rsidRDefault="00F65686" w:rsidP="00743FAE">
      <w:pPr>
        <w:pStyle w:val="Contention1"/>
      </w:pPr>
      <w:bookmarkStart w:id="13" w:name="_Toc31205514"/>
      <w:r>
        <w:t>3</w:t>
      </w:r>
      <w:r w:rsidR="008908D6">
        <w:t>.  FERC salaries not low – very generous compared to US average</w:t>
      </w:r>
      <w:bookmarkEnd w:id="13"/>
    </w:p>
    <w:p w14:paraId="02F5788F" w14:textId="1DE8A72C" w:rsidR="008908D6" w:rsidRDefault="008908D6" w:rsidP="00743FAE">
      <w:pPr>
        <w:pStyle w:val="Contention1"/>
      </w:pPr>
    </w:p>
    <w:p w14:paraId="0161FD0F" w14:textId="23FEE3FB" w:rsidR="008908D6" w:rsidRDefault="008908D6" w:rsidP="008908D6">
      <w:pPr>
        <w:pStyle w:val="Contention2"/>
      </w:pPr>
      <w:bookmarkStart w:id="14" w:name="_Toc31205515"/>
      <w:r>
        <w:t>Average FERC salary is $113,348/year</w:t>
      </w:r>
      <w:bookmarkEnd w:id="14"/>
    </w:p>
    <w:p w14:paraId="2A6B8B6F" w14:textId="04F45FB7" w:rsidR="008908D6" w:rsidRPr="008908D6" w:rsidRDefault="008908D6" w:rsidP="008908D6">
      <w:pPr>
        <w:pStyle w:val="Citation3"/>
      </w:pPr>
      <w:r w:rsidRPr="008908D6">
        <w:rPr>
          <w:u w:val="single"/>
        </w:rPr>
        <w:t>Zip Recruiter 2020</w:t>
      </w:r>
      <w:r w:rsidRPr="008908D6">
        <w:t xml:space="preserve"> (job recruitment site) “FERC Salary in Washington, DC” </w:t>
      </w:r>
      <w:hyperlink r:id="rId13" w:history="1">
        <w:r w:rsidRPr="008908D6">
          <w:rPr>
            <w:rStyle w:val="Hyperlink"/>
            <w:color w:val="auto"/>
            <w:u w:val="none"/>
          </w:rPr>
          <w:t>https://www.ziprecruiter.com/Salaries/How-Much-Does-a-FERC-Make-a-Year-in-Washington,DC</w:t>
        </w:r>
      </w:hyperlink>
    </w:p>
    <w:p w14:paraId="729B4FA8" w14:textId="5A0B866D" w:rsidR="008908D6" w:rsidRPr="008908D6" w:rsidRDefault="008908D6" w:rsidP="008908D6">
      <w:pPr>
        <w:pStyle w:val="Evidence"/>
      </w:pPr>
      <w:r w:rsidRPr="00BF7C11">
        <w:rPr>
          <w:u w:val="single"/>
        </w:rPr>
        <w:t>As of Jan 21, 2020, the average annual pay for the FERC jobs category in Washington, DC is $113,348 a year.</w:t>
      </w:r>
      <w:r>
        <w:t xml:space="preserve"> </w:t>
      </w:r>
      <w:r w:rsidRPr="008908D6">
        <w:t>While ZipRecruiter is seeing annual salaries as high as $231,442 and as low as $63,264, the majority of salaries within the FERC jobs category currently range between $73,280 (25th percentile) to $131,800 (75th percentile) in Washington, DC.</w:t>
      </w:r>
    </w:p>
    <w:p w14:paraId="4A8C4CB6" w14:textId="253C2DA8" w:rsidR="008908D6" w:rsidRDefault="008908D6" w:rsidP="00743FAE">
      <w:pPr>
        <w:pStyle w:val="Contention1"/>
      </w:pPr>
    </w:p>
    <w:p w14:paraId="10B0559C" w14:textId="59C73414" w:rsidR="008908D6" w:rsidRDefault="008908D6" w:rsidP="008908D6">
      <w:pPr>
        <w:pStyle w:val="Contention2"/>
      </w:pPr>
      <w:bookmarkStart w:id="15" w:name="_Toc31205516"/>
      <w:r>
        <w:t xml:space="preserve">Average </w:t>
      </w:r>
      <w:proofErr w:type="gramStart"/>
      <w:r>
        <w:t>salary  of</w:t>
      </w:r>
      <w:proofErr w:type="gramEnd"/>
      <w:r>
        <w:t xml:space="preserve"> people in the United States is $47,060 / year</w:t>
      </w:r>
      <w:bookmarkEnd w:id="15"/>
    </w:p>
    <w:p w14:paraId="4A25D42F" w14:textId="56CCA535" w:rsidR="008908D6" w:rsidRPr="008908D6" w:rsidRDefault="008908D6" w:rsidP="008908D6">
      <w:pPr>
        <w:pStyle w:val="Citation3"/>
      </w:pPr>
      <w:r w:rsidRPr="008908D6">
        <w:rPr>
          <w:u w:val="single"/>
        </w:rPr>
        <w:t>Alison Doyle 2019</w:t>
      </w:r>
      <w:r w:rsidRPr="008908D6">
        <w:t xml:space="preserve"> (Job search expert for The Balance Careers and one of the industry's most highly-regarded career experts) 10 May 2019 “</w:t>
      </w:r>
      <w:r w:rsidRPr="008908D6">
        <w:rPr>
          <w:rStyle w:val="comp"/>
        </w:rPr>
        <w:t xml:space="preserve">Average Salary Information for US Workers” </w:t>
      </w:r>
      <w:hyperlink r:id="rId14" w:history="1">
        <w:r w:rsidRPr="008908D6">
          <w:rPr>
            <w:rStyle w:val="Hyperlink"/>
            <w:color w:val="auto"/>
            <w:u w:val="none"/>
          </w:rPr>
          <w:t>https://www.thebalancecareers.com/average-salary-information-for-us-workers-2060808</w:t>
        </w:r>
      </w:hyperlink>
    </w:p>
    <w:p w14:paraId="0B9AEC96" w14:textId="7765734B" w:rsidR="008908D6" w:rsidRDefault="008908D6" w:rsidP="008908D6">
      <w:pPr>
        <w:pStyle w:val="Evidence"/>
      </w:pPr>
      <w:r w:rsidRPr="004E2075">
        <w:rPr>
          <w:u w:val="single"/>
        </w:rPr>
        <w:t>According to the </w:t>
      </w:r>
      <w:hyperlink r:id="rId15" w:tgtFrame="_blank" w:history="1">
        <w:r w:rsidRPr="004E2075">
          <w:rPr>
            <w:rStyle w:val="Hyperlink"/>
            <w:rFonts w:eastAsia="Arial"/>
            <w:color w:val="000000"/>
            <w:u w:val="single"/>
          </w:rPr>
          <w:t>Bureau of Labor Statistics</w:t>
        </w:r>
      </w:hyperlink>
      <w:r w:rsidRPr="004E2075">
        <w:rPr>
          <w:u w:val="single"/>
        </w:rPr>
        <w:t> (BLS), the </w:t>
      </w:r>
      <w:hyperlink r:id="rId16" w:history="1">
        <w:r w:rsidRPr="004E2075">
          <w:rPr>
            <w:rStyle w:val="Hyperlink"/>
            <w:rFonts w:eastAsia="Arial"/>
            <w:color w:val="000000"/>
            <w:u w:val="single"/>
          </w:rPr>
          <w:t>median</w:t>
        </w:r>
      </w:hyperlink>
      <w:r w:rsidRPr="004E2075">
        <w:rPr>
          <w:u w:val="single"/>
        </w:rPr>
        <w:t> wage for workers in the United States in the first quarter of 2019 was $905 per week or $47,060 per year for a 40-hour workweek</w:t>
      </w:r>
      <w:r w:rsidRPr="008908D6">
        <w:t xml:space="preserve">. Wages were 2.7% higher than on the same date for the previous year. However, salaries can vary significantly based on both occupation and location. </w:t>
      </w:r>
      <w:proofErr w:type="gramStart"/>
      <w:r w:rsidRPr="008908D6">
        <w:t>What's</w:t>
      </w:r>
      <w:proofErr w:type="gramEnd"/>
      <w:r w:rsidRPr="008908D6">
        <w:t xml:space="preserve"> considered a </w:t>
      </w:r>
      <w:hyperlink r:id="rId17" w:history="1">
        <w:r w:rsidRPr="008908D6">
          <w:rPr>
            <w:rStyle w:val="Hyperlink"/>
            <w:rFonts w:eastAsia="Arial"/>
            <w:color w:val="000000"/>
            <w:u w:val="none"/>
          </w:rPr>
          <w:t>good salary</w:t>
        </w:r>
      </w:hyperlink>
      <w:r w:rsidRPr="008908D6">
        <w:t> in one location may not be somewhere else. For example, people working in professional, management, and related occupations earned an average of $66,820 annually, while those working in service occupations earned an average of $30,524 annually. </w:t>
      </w:r>
    </w:p>
    <w:p w14:paraId="0A04F684" w14:textId="7BC8A82D" w:rsidR="007E0A95" w:rsidRDefault="007E0A95" w:rsidP="007E0A95">
      <w:pPr>
        <w:pStyle w:val="Contention2"/>
      </w:pPr>
    </w:p>
    <w:p w14:paraId="5BE8B504" w14:textId="042EA9DC" w:rsidR="007E0A95" w:rsidRDefault="007E0A95" w:rsidP="007E0A95">
      <w:pPr>
        <w:pStyle w:val="Contention2"/>
      </w:pPr>
      <w:bookmarkStart w:id="16" w:name="_Toc31205517"/>
      <w:r>
        <w:t>Do the math:  FERC employees make 2.4 times the average salary of everyone else in America</w:t>
      </w:r>
      <w:bookmarkEnd w:id="16"/>
    </w:p>
    <w:p w14:paraId="0D371B7E" w14:textId="0A281364" w:rsidR="007E0A95" w:rsidRPr="008908D6" w:rsidRDefault="007E0A95" w:rsidP="007E0A95">
      <w:pPr>
        <w:pStyle w:val="Evidence"/>
      </w:pPr>
      <w:proofErr w:type="gramStart"/>
      <w:r>
        <w:t>113,348</w:t>
      </w:r>
      <w:proofErr w:type="gramEnd"/>
      <w:r>
        <w:t xml:space="preserve"> divided by 47,060 = 2.4.  </w:t>
      </w:r>
      <w:proofErr w:type="gramStart"/>
      <w:r>
        <w:t>Tell me again where exactly the problem is?</w:t>
      </w:r>
      <w:proofErr w:type="gramEnd"/>
    </w:p>
    <w:p w14:paraId="78E19C19" w14:textId="31CA10D6" w:rsidR="008908D6" w:rsidRDefault="008908D6" w:rsidP="007E0A95">
      <w:pPr>
        <w:pStyle w:val="Contention2"/>
        <w:ind w:left="0"/>
      </w:pPr>
    </w:p>
    <w:p w14:paraId="2FF4BC42" w14:textId="53E31527" w:rsidR="007E0A95" w:rsidRDefault="006167B3" w:rsidP="006167B3">
      <w:pPr>
        <w:pStyle w:val="Contention1"/>
      </w:pPr>
      <w:bookmarkStart w:id="17" w:name="_Toc31205518"/>
      <w:r>
        <w:t>SOLVENCY</w:t>
      </w:r>
      <w:bookmarkEnd w:id="17"/>
    </w:p>
    <w:p w14:paraId="49AF6657" w14:textId="3F555361" w:rsidR="006167B3" w:rsidRDefault="006167B3" w:rsidP="006167B3">
      <w:pPr>
        <w:pStyle w:val="Contention1"/>
      </w:pPr>
    </w:p>
    <w:p w14:paraId="1F268657" w14:textId="4CA78529" w:rsidR="005905BF" w:rsidRDefault="006167B3" w:rsidP="006167B3">
      <w:pPr>
        <w:pStyle w:val="Contention1"/>
      </w:pPr>
      <w:bookmarkStart w:id="18" w:name="_Toc31205519"/>
      <w:r>
        <w:t xml:space="preserve">1.  </w:t>
      </w:r>
      <w:r w:rsidR="005905BF">
        <w:t>Already tried and failed</w:t>
      </w:r>
      <w:r w:rsidR="005D60D7">
        <w:t xml:space="preserve"> #1: Employees not satisfied</w:t>
      </w:r>
      <w:bookmarkEnd w:id="18"/>
    </w:p>
    <w:p w14:paraId="5FDFB036" w14:textId="5C18EE28" w:rsidR="005905BF" w:rsidRDefault="005905BF" w:rsidP="006167B3">
      <w:pPr>
        <w:pStyle w:val="Contention1"/>
      </w:pPr>
    </w:p>
    <w:p w14:paraId="43756E97" w14:textId="0D9B9CDE" w:rsidR="005905BF" w:rsidRDefault="005905BF" w:rsidP="005905BF">
      <w:pPr>
        <w:pStyle w:val="Contention2"/>
      </w:pPr>
      <w:bookmarkStart w:id="19" w:name="_Toc31205520"/>
      <w:r>
        <w:t>Link:  The Securities &amp; Exchange Commission tried the same plan</w:t>
      </w:r>
      <w:r w:rsidR="00E25C8F">
        <w:t xml:space="preserve"> </w:t>
      </w:r>
      <w:r>
        <w:t>for the same reasons – and the author of their FERC plan cited SEC as a model</w:t>
      </w:r>
      <w:bookmarkEnd w:id="19"/>
    </w:p>
    <w:p w14:paraId="3D7FEB47" w14:textId="685D6CB8" w:rsidR="005905BF" w:rsidRPr="005905BF" w:rsidRDefault="005905BF" w:rsidP="005905BF">
      <w:pPr>
        <w:pStyle w:val="Citation3"/>
      </w:pPr>
      <w:r w:rsidRPr="005905BF">
        <w:rPr>
          <w:u w:val="single"/>
        </w:rPr>
        <w:t>Nick Snow 2018</w:t>
      </w:r>
      <w:r w:rsidRPr="005905BF">
        <w:t xml:space="preserve"> (journalist) OIL &amp; GAS JOURNAL 30 July 2018 “US Congressmen offer bill to reduce LNG permit backlog at FERC” </w:t>
      </w:r>
      <w:hyperlink r:id="rId18" w:history="1">
        <w:r w:rsidRPr="005905BF">
          <w:rPr>
            <w:rStyle w:val="Hyperlink"/>
            <w:color w:val="auto"/>
            <w:u w:val="none"/>
          </w:rPr>
          <w:t>https://www.ogj.com/general-interest/government/article/17297104/us-congressmen-offer-bill-to-reduce-lng-permit-backlog-at-ferc</w:t>
        </w:r>
      </w:hyperlink>
      <w:r>
        <w:t xml:space="preserve">  (brackets in original</w:t>
      </w:r>
      <w:proofErr w:type="gramStart"/>
      <w:r w:rsidR="003662BE">
        <w:t>;  “</w:t>
      </w:r>
      <w:proofErr w:type="gramEnd"/>
      <w:r w:rsidR="003662BE">
        <w:t>Olson” is Rep. Pete Olson, the author of the FERC pay proposal in Congress</w:t>
      </w:r>
      <w:r>
        <w:t>)</w:t>
      </w:r>
    </w:p>
    <w:p w14:paraId="59F37EDB" w14:textId="5E057663" w:rsidR="005905BF" w:rsidRPr="005905BF" w:rsidRDefault="005905BF" w:rsidP="005905BF">
      <w:pPr>
        <w:pStyle w:val="Evidence"/>
      </w:pPr>
      <w:r w:rsidRPr="005905BF">
        <w:rPr>
          <w:u w:val="single"/>
        </w:rPr>
        <w:t>Under </w:t>
      </w:r>
      <w:hyperlink r:id="rId19" w:tgtFrame="_blank" w:history="1">
        <w:r w:rsidRPr="005905BF">
          <w:rPr>
            <w:rStyle w:val="Hyperlink"/>
            <w:rFonts w:eastAsia="Arial"/>
            <w:color w:val="000000"/>
            <w:u w:val="single"/>
          </w:rPr>
          <w:t>HR 6552</w:t>
        </w:r>
      </w:hyperlink>
      <w:r w:rsidRPr="005905BF">
        <w:rPr>
          <w:u w:val="single"/>
        </w:rPr>
        <w:t>, FERC would have to consult with the US Office of Personnel Management to determine appropriate salaries for the positions, the two lawmakers jointly said on July 26.</w:t>
      </w:r>
      <w:r w:rsidRPr="005905BF">
        <w:t xml:space="preserve"> It also would only be able to offer higher salaries for positions or roles where FERC can confirm a critical need and would have to review that decision every 5 years, as well as report on hir</w:t>
      </w:r>
      <w:r w:rsidR="003662BE">
        <w:t xml:space="preserve">ing and staffing as the process </w:t>
      </w:r>
      <w:r w:rsidRPr="005905BF">
        <w:t xml:space="preserve">moved forward, they emphasized. </w:t>
      </w:r>
      <w:r w:rsidRPr="005905BF">
        <w:rPr>
          <w:u w:val="single"/>
        </w:rPr>
        <w:t>“Not only is this step important in getting infrastructure built in this country, but it has precedent,” Olson said. “The [US] Securities and Exchange Commission was given similar authority by Congress to bridge the wage gap in the financial sector</w:t>
      </w:r>
      <w:r w:rsidRPr="005905BF">
        <w:t>. It makes sense in highly specialized energy jobs to do the same.”</w:t>
      </w:r>
    </w:p>
    <w:p w14:paraId="6D4C5ABE" w14:textId="0F78C01E" w:rsidR="005905BF" w:rsidRDefault="005905BF" w:rsidP="005905BF">
      <w:pPr>
        <w:pStyle w:val="Contention2"/>
      </w:pPr>
    </w:p>
    <w:p w14:paraId="266EFB98" w14:textId="3BA4E090" w:rsidR="001029D3" w:rsidRDefault="001029D3" w:rsidP="005905BF">
      <w:pPr>
        <w:pStyle w:val="Contention2"/>
      </w:pPr>
      <w:bookmarkStart w:id="20" w:name="_Toc31205521"/>
      <w:r>
        <w:t xml:space="preserve">Background:  Congress gave SEC pay increase flexibility in </w:t>
      </w:r>
      <w:proofErr w:type="gramStart"/>
      <w:r>
        <w:t>2002</w:t>
      </w:r>
      <w:r w:rsidR="005D60D7">
        <w:t xml:space="preserve">  (</w:t>
      </w:r>
      <w:proofErr w:type="gramEnd"/>
      <w:r w:rsidR="005D60D7">
        <w:t>the AFF’s plan)</w:t>
      </w:r>
      <w:bookmarkEnd w:id="20"/>
    </w:p>
    <w:p w14:paraId="5588588B" w14:textId="43F4B83C" w:rsidR="001029D3" w:rsidRDefault="001029D3" w:rsidP="005D60D7">
      <w:pPr>
        <w:pStyle w:val="Citation3"/>
      </w:pPr>
      <w:r w:rsidRPr="005D60D7">
        <w:rPr>
          <w:u w:val="single"/>
        </w:rPr>
        <w:t>Judge Janice Brown 2009.</w:t>
      </w:r>
      <w:r w:rsidRPr="005D60D7">
        <w:t xml:space="preserve"> (</w:t>
      </w:r>
      <w:proofErr w:type="gramStart"/>
      <w:r w:rsidRPr="005D60D7">
        <w:t>federal</w:t>
      </w:r>
      <w:proofErr w:type="gramEnd"/>
      <w:r w:rsidRPr="005D60D7">
        <w:t xml:space="preserve"> judge on the US Court of Appeals for the D.C. Circuit)  </w:t>
      </w:r>
      <w:r w:rsidR="005D60D7" w:rsidRPr="005D60D7">
        <w:t xml:space="preserve">SECURITIES AND EXCHANGE COMMISSION v. National Treasury Employees Union, </w:t>
      </w:r>
      <w:proofErr w:type="spellStart"/>
      <w:r w:rsidR="005D60D7" w:rsidRPr="005D60D7">
        <w:t>Intervenor</w:t>
      </w:r>
      <w:proofErr w:type="spellEnd"/>
      <w:r w:rsidR="005D60D7" w:rsidRPr="005D60D7">
        <w:t>.</w:t>
      </w:r>
      <w:r w:rsidR="005D60D7">
        <w:t xml:space="preserve">  12 June 2009</w:t>
      </w:r>
      <w:r w:rsidR="005D60D7">
        <w:rPr>
          <w:rFonts w:ascii="Roboto" w:hAnsi="Roboto"/>
          <w:color w:val="666666"/>
          <w:bdr w:val="single" w:sz="6" w:space="0" w:color="CCCCCC" w:frame="1"/>
          <w:shd w:val="clear" w:color="auto" w:fill="F5F5F5"/>
        </w:rPr>
        <w:br/>
      </w:r>
      <w:hyperlink r:id="rId20" w:history="1">
        <w:r>
          <w:rPr>
            <w:rStyle w:val="Hyperlink"/>
          </w:rPr>
          <w:t>https://caselaw.findlaw.com/us-dc-circuit/1335106.html</w:t>
        </w:r>
      </w:hyperlink>
    </w:p>
    <w:p w14:paraId="42556C0C" w14:textId="56EA7732" w:rsidR="001029D3" w:rsidRDefault="001029D3" w:rsidP="001029D3">
      <w:pPr>
        <w:pStyle w:val="Evidence"/>
        <w:rPr>
          <w:u w:val="single"/>
          <w:shd w:val="clear" w:color="auto" w:fill="FFFFFF"/>
        </w:rPr>
      </w:pPr>
      <w:r w:rsidRPr="001029D3">
        <w:rPr>
          <w:u w:val="single"/>
          <w:shd w:val="clear" w:color="auto" w:fill="FFFFFF"/>
        </w:rPr>
        <w:t xml:space="preserve">Although the SEC took advantage of as many compensation and benefit flexibilities as existing law allowed, including special pay rates for its most sought-after employees, by 2001-with its workload increasing dramatically and staffing shortages reaching crisis levels-the Agency sought legislative relief. </w:t>
      </w:r>
      <w:r w:rsidRPr="001029D3">
        <w:rPr>
          <w:u w:val="single"/>
          <w:shd w:val="clear" w:color="auto" w:fill="FFFFFF"/>
        </w:rPr>
        <w:t> </w:t>
      </w:r>
      <w:r w:rsidRPr="001029D3">
        <w:rPr>
          <w:u w:val="single"/>
          <w:shd w:val="clear" w:color="auto" w:fill="FFFFFF"/>
        </w:rPr>
        <w:t xml:space="preserve"> Congress acquiesced. </w:t>
      </w:r>
      <w:r w:rsidRPr="001029D3">
        <w:rPr>
          <w:u w:val="single"/>
          <w:shd w:val="clear" w:color="auto" w:fill="FFFFFF"/>
        </w:rPr>
        <w:t> </w:t>
      </w:r>
      <w:r w:rsidRPr="001029D3">
        <w:rPr>
          <w:u w:val="single"/>
          <w:shd w:val="clear" w:color="auto" w:fill="FFFFFF"/>
        </w:rPr>
        <w:t xml:space="preserve"> On January 16, 2002, it passed the Investor and Capital Markets Fee Relief Act</w:t>
      </w:r>
      <w:r>
        <w:rPr>
          <w:shd w:val="clear" w:color="auto" w:fill="FFFFFF"/>
        </w:rPr>
        <w:t xml:space="preserve">, </w:t>
      </w:r>
      <w:proofErr w:type="spellStart"/>
      <w:r>
        <w:rPr>
          <w:shd w:val="clear" w:color="auto" w:fill="FFFFFF"/>
        </w:rPr>
        <w:t>Pub.L</w:t>
      </w:r>
      <w:proofErr w:type="spellEnd"/>
      <w:r>
        <w:rPr>
          <w:shd w:val="clear" w:color="auto" w:fill="FFFFFF"/>
        </w:rPr>
        <w:t xml:space="preserve">. No. 107-123, 115 Stat. 2390 (2002), </w:t>
      </w:r>
      <w:r w:rsidRPr="001029D3">
        <w:rPr>
          <w:u w:val="single"/>
          <w:shd w:val="clear" w:color="auto" w:fill="FFFFFF"/>
        </w:rPr>
        <w:t>which gave the SEC authority to set and adjust its employees' pay rates without regard to the General Schedule.</w:t>
      </w:r>
    </w:p>
    <w:p w14:paraId="7BEB9FE4" w14:textId="5900BA92" w:rsidR="005D60D7" w:rsidRDefault="005D60D7" w:rsidP="001029D3">
      <w:pPr>
        <w:pStyle w:val="Evidence"/>
        <w:rPr>
          <w:u w:val="single"/>
          <w:shd w:val="clear" w:color="auto" w:fill="FFFFFF"/>
        </w:rPr>
      </w:pPr>
    </w:p>
    <w:p w14:paraId="6CB2A191" w14:textId="2E931349" w:rsidR="003662BE" w:rsidRDefault="003662BE" w:rsidP="003662BE">
      <w:pPr>
        <w:pStyle w:val="Contention2"/>
      </w:pPr>
      <w:bookmarkStart w:id="21" w:name="_Toc31205522"/>
      <w:r w:rsidRPr="003662BE">
        <w:lastRenderedPageBreak/>
        <w:t>Failure:  SEC employees fi</w:t>
      </w:r>
      <w:r w:rsidR="001029D3">
        <w:t xml:space="preserve">led a grievance with 14 complaints </w:t>
      </w:r>
      <w:r w:rsidRPr="003662BE">
        <w:t>under the Federal Service Labor-Management Relations Statute</w:t>
      </w:r>
      <w:bookmarkEnd w:id="21"/>
      <w:r w:rsidRPr="003662BE">
        <w:t xml:space="preserve"> </w:t>
      </w:r>
    </w:p>
    <w:p w14:paraId="042AD331" w14:textId="3B5F86E5" w:rsidR="001029D3" w:rsidRDefault="001029D3" w:rsidP="001029D3">
      <w:pPr>
        <w:pStyle w:val="Citation3"/>
      </w:pPr>
      <w:r w:rsidRPr="001029D3">
        <w:rPr>
          <w:u w:val="single"/>
        </w:rPr>
        <w:t>Federal Services Impasses Panel 2006</w:t>
      </w:r>
      <w:r>
        <w:t>. (</w:t>
      </w:r>
      <w:proofErr w:type="gramStart"/>
      <w:r>
        <w:t>mediation</w:t>
      </w:r>
      <w:proofErr w:type="gramEnd"/>
      <w:r>
        <w:t xml:space="preserve"> panel that resolves disputes over federal workplace issues) case of Security &amp; Exchange Commission vs. National Treasury Employees Union </w:t>
      </w:r>
      <w:hyperlink r:id="rId21" w:history="1">
        <w:r>
          <w:rPr>
            <w:rStyle w:val="Hyperlink"/>
          </w:rPr>
          <w:t>https://www.flra.gov/fsip/finalact/06fs_054.html</w:t>
        </w:r>
      </w:hyperlink>
    </w:p>
    <w:p w14:paraId="3F106ACD" w14:textId="2A52C815" w:rsidR="001029D3" w:rsidRDefault="001029D3" w:rsidP="001029D3">
      <w:pPr>
        <w:pStyle w:val="Evidence"/>
      </w:pPr>
      <w:r w:rsidRPr="001029D3">
        <w:rPr>
          <w:u w:val="single"/>
        </w:rPr>
        <w:t>The Securities and Exchange Commission</w:t>
      </w:r>
      <w:r>
        <w:t xml:space="preserve"> (Employer or SEC) </w:t>
      </w:r>
      <w:r w:rsidRPr="001029D3">
        <w:rPr>
          <w:u w:val="single"/>
        </w:rPr>
        <w:t>filed a request for assistance with the Federal Service Impasses Panel</w:t>
      </w:r>
      <w:r>
        <w:t xml:space="preserve"> (Panel) </w:t>
      </w:r>
      <w:r w:rsidRPr="001029D3">
        <w:rPr>
          <w:u w:val="single"/>
        </w:rPr>
        <w:t>to consider a negotiation impasse under the Federal Service Labor-Management Relations Statute</w:t>
      </w:r>
      <w:r>
        <w:t xml:space="preserve"> (Statute), 5 U.S.C. § 7119</w:t>
      </w:r>
      <w:r w:rsidRPr="001029D3">
        <w:rPr>
          <w:u w:val="single"/>
        </w:rPr>
        <w:t>, between it and the National Treasury Employees Union</w:t>
      </w:r>
      <w:r>
        <w:t xml:space="preserve"> (Union</w:t>
      </w:r>
      <w:r w:rsidRPr="001029D3">
        <w:rPr>
          <w:u w:val="single"/>
        </w:rPr>
        <w:t>).</w:t>
      </w:r>
      <w:r w:rsidRPr="001029D3">
        <w:rPr>
          <w:u w:val="single"/>
        </w:rPr>
        <w:t xml:space="preserve"> </w:t>
      </w:r>
      <w:r w:rsidRPr="001029D3">
        <w:rPr>
          <w:u w:val="single"/>
        </w:rPr>
        <w:t xml:space="preserve">   Following investigation of the Employer’s request for assistance, which arose from negotiations over the </w:t>
      </w:r>
      <w:proofErr w:type="gramStart"/>
      <w:r w:rsidRPr="001029D3">
        <w:rPr>
          <w:u w:val="single"/>
        </w:rPr>
        <w:t>parties</w:t>
      </w:r>
      <w:proofErr w:type="gramEnd"/>
      <w:r w:rsidRPr="001029D3">
        <w:rPr>
          <w:u w:val="single"/>
        </w:rPr>
        <w:t xml:space="preserve"> second compensation and benefits agreement,</w:t>
      </w:r>
      <w:r w:rsidRPr="001029D3">
        <w:rPr>
          <w:rFonts w:ascii="Courier New" w:eastAsia="Arial" w:hAnsi="Courier New" w:cs="Courier New"/>
          <w:color w:val="0000FF"/>
          <w:sz w:val="15"/>
          <w:szCs w:val="15"/>
          <w:u w:val="single" w:color="7F7F7F"/>
          <w:vertAlign w:val="superscript"/>
        </w:rPr>
        <w:t xml:space="preserve"> </w:t>
      </w:r>
      <w:r w:rsidRPr="001029D3">
        <w:rPr>
          <w:u w:val="single"/>
        </w:rPr>
        <w:t>the Panel determined that the dispute should be resolved through an informal conference with Panel Member Andrea Fischer Newman</w:t>
      </w:r>
      <w:r>
        <w:t>.</w:t>
      </w:r>
      <w:r>
        <w:br/>
      </w:r>
      <w:r>
        <w:br/>
      </w:r>
      <w:r w:rsidRPr="001029D3">
        <w:rPr>
          <w:b/>
          <w:u w:val="single"/>
        </w:rPr>
        <w:t>END QUOTE.  They go on later in the same context to write QUOTE</w:t>
      </w:r>
      <w:proofErr w:type="gramStart"/>
      <w:r w:rsidRPr="001029D3">
        <w:rPr>
          <w:b/>
          <w:u w:val="single"/>
        </w:rPr>
        <w:t>:</w:t>
      </w:r>
      <w:proofErr w:type="gramEnd"/>
      <w:r>
        <w:br/>
      </w:r>
      <w:r>
        <w:br/>
      </w:r>
      <w:r w:rsidRPr="001029D3">
        <w:rPr>
          <w:u w:val="single"/>
        </w:rPr>
        <w:t xml:space="preserve">An overriding issue for the parties is the procedure to be followed in the event that the Employer is unable to meet its financial obligations under the compensation agreement should Congress fail to fully fund the SEC’s budget. </w:t>
      </w:r>
      <w:proofErr w:type="gramStart"/>
      <w:r w:rsidRPr="001029D3">
        <w:rPr>
          <w:u w:val="single"/>
        </w:rPr>
        <w:t>Other issues include: (1) the effective date for implementing a pay system with "open ranges"; (2) one-time and annual adjustments to the pay schedule; (3) merit pay; (4) annual pay adjustment for unacceptable performers; (5) value of merit increases; (6) issuance of standards that define fully acceptable performance and higher levels of performance; (7) supervisory support for ratings/merit increase; (8) role of compensation committees; (9) data on distribution of merit increases; (10) health insurance premiums; (11) retirement plans; (12) effective dates for changes to the performance management system and pay and benefits; and (13) the duration of the agreement</w:t>
      </w:r>
      <w:r w:rsidRPr="001029D3">
        <w:t>.</w:t>
      </w:r>
      <w:proofErr w:type="gramEnd"/>
    </w:p>
    <w:p w14:paraId="50ED8FCC" w14:textId="2BF63D23" w:rsidR="001029D3" w:rsidRDefault="001029D3" w:rsidP="001029D3">
      <w:pPr>
        <w:pStyle w:val="Evidence"/>
      </w:pPr>
    </w:p>
    <w:p w14:paraId="34AC1216" w14:textId="77777777" w:rsidR="00E25C8F" w:rsidRDefault="00E25C8F">
      <w:pPr>
        <w:rPr>
          <w:b/>
          <w:bCs/>
          <w:color w:val="000000"/>
          <w:sz w:val="20"/>
          <w:szCs w:val="20"/>
          <w:lang w:eastAsia="fr-FR"/>
        </w:rPr>
      </w:pPr>
      <w:r>
        <w:br w:type="page"/>
      </w:r>
    </w:p>
    <w:p w14:paraId="29C130B4" w14:textId="6350FAA2" w:rsidR="005D60D7" w:rsidRDefault="005D60D7" w:rsidP="005D60D7">
      <w:pPr>
        <w:pStyle w:val="Contention1"/>
      </w:pPr>
      <w:bookmarkStart w:id="22" w:name="_Toc31205523"/>
      <w:r>
        <w:lastRenderedPageBreak/>
        <w:t xml:space="preserve">2.  Already Tried &amp; Failed #2:  More staff </w:t>
      </w:r>
      <w:proofErr w:type="gramStart"/>
      <w:r>
        <w:t>doesn’t</w:t>
      </w:r>
      <w:proofErr w:type="gramEnd"/>
      <w:r>
        <w:t xml:space="preserve"> equal more productivity</w:t>
      </w:r>
      <w:bookmarkEnd w:id="22"/>
    </w:p>
    <w:p w14:paraId="2C0E8D26" w14:textId="77777777" w:rsidR="005D60D7" w:rsidRDefault="005D60D7" w:rsidP="005D60D7">
      <w:pPr>
        <w:pStyle w:val="Contention1"/>
      </w:pPr>
    </w:p>
    <w:p w14:paraId="54B0985C" w14:textId="243631AE" w:rsidR="005905BF" w:rsidRDefault="005D60D7" w:rsidP="005D60D7">
      <w:pPr>
        <w:pStyle w:val="Contention2"/>
      </w:pPr>
      <w:bookmarkStart w:id="23" w:name="_Toc31205524"/>
      <w:r>
        <w:t>Link:  SEC did the AFF Plan in 2002</w:t>
      </w:r>
      <w:bookmarkEnd w:id="23"/>
      <w:r w:rsidR="003662BE">
        <w:t xml:space="preserve"> </w:t>
      </w:r>
    </w:p>
    <w:p w14:paraId="30A84F3D" w14:textId="04706E1C" w:rsidR="005905BF" w:rsidRDefault="005D60D7" w:rsidP="005D60D7">
      <w:pPr>
        <w:pStyle w:val="Evidence"/>
      </w:pPr>
      <w:r>
        <w:t>Cross apply all the evidence from Solvency #1</w:t>
      </w:r>
    </w:p>
    <w:p w14:paraId="683CEA7B" w14:textId="107915E7" w:rsidR="005D60D7" w:rsidRDefault="005D60D7" w:rsidP="005D60D7">
      <w:pPr>
        <w:pStyle w:val="Evidence"/>
      </w:pPr>
    </w:p>
    <w:p w14:paraId="104A0594" w14:textId="4795B1CB" w:rsidR="005D60D7" w:rsidRDefault="005D60D7" w:rsidP="005D60D7">
      <w:pPr>
        <w:pStyle w:val="Contention2"/>
      </w:pPr>
      <w:bookmarkStart w:id="24" w:name="_Toc31205525"/>
      <w:r>
        <w:t xml:space="preserve">Failure:  </w:t>
      </w:r>
      <w:r w:rsidR="00E25C8F">
        <w:t>SEC</w:t>
      </w:r>
      <w:r>
        <w:t xml:space="preserve"> got more people, but </w:t>
      </w:r>
      <w:proofErr w:type="gramStart"/>
      <w:r w:rsidR="00E25C8F">
        <w:t>didn’t get</w:t>
      </w:r>
      <w:proofErr w:type="gramEnd"/>
      <w:r>
        <w:t xml:space="preserve"> more done.  </w:t>
      </w:r>
      <w:r w:rsidR="00E25C8F">
        <w:t>Most of the extra staff went to unnecessary functions</w:t>
      </w:r>
      <w:bookmarkEnd w:id="24"/>
    </w:p>
    <w:p w14:paraId="0784F114" w14:textId="7F40BBDD" w:rsidR="00E25C8F" w:rsidRDefault="00E25C8F" w:rsidP="00E25C8F">
      <w:pPr>
        <w:pStyle w:val="Citation3"/>
      </w:pPr>
      <w:r w:rsidRPr="00E25C8F">
        <w:rPr>
          <w:u w:val="single"/>
        </w:rPr>
        <w:t>David Burton 2019</w:t>
      </w:r>
      <w:r>
        <w:t xml:space="preserve">. (Senior Fellow in Economic Policy at Heritage Foundation) 30 Jan 2019 “Reforming the Securities &amp; Exchange Commission) </w:t>
      </w:r>
      <w:hyperlink r:id="rId22" w:history="1">
        <w:r>
          <w:rPr>
            <w:rStyle w:val="Hyperlink"/>
          </w:rPr>
          <w:t>https://www.heritage.org/government-regulation/report/reforming-the-securities-and-exchange-commission</w:t>
        </w:r>
      </w:hyperlink>
    </w:p>
    <w:p w14:paraId="24BB4E4A" w14:textId="70DE4377" w:rsidR="005D60D7" w:rsidRDefault="005D60D7" w:rsidP="005D60D7">
      <w:pPr>
        <w:pStyle w:val="Evidence"/>
      </w:pPr>
      <w:r w:rsidRPr="005D60D7">
        <w:t xml:space="preserve">The U.S. Securities and Exchange Commission is the most important regulator of U.S. capital markets. Although its budget has increased by 82 percent over 10 years, its effectiveness remains in question. Resources have flowed into unnecessary management, “support,” and ancillary functions, while core functions </w:t>
      </w:r>
      <w:proofErr w:type="gramStart"/>
      <w:r w:rsidRPr="005D60D7">
        <w:t>have been neglected</w:t>
      </w:r>
      <w:proofErr w:type="gramEnd"/>
      <w:r w:rsidRPr="005D60D7">
        <w:t xml:space="preserve">. Its organizational structure is unwieldy. The Commission needs to be better managed—it does not need (as has been proposed) more managers. The number of direct reports to the Chairman needs to </w:t>
      </w:r>
      <w:proofErr w:type="gramStart"/>
      <w:r w:rsidRPr="005D60D7">
        <w:t>be reduced</w:t>
      </w:r>
      <w:proofErr w:type="gramEnd"/>
      <w:r w:rsidRPr="005D60D7">
        <w:t>. </w:t>
      </w:r>
    </w:p>
    <w:p w14:paraId="19CF2CCF" w14:textId="3CF5E400" w:rsidR="00E25C8F" w:rsidRDefault="00E25C8F" w:rsidP="005D60D7">
      <w:pPr>
        <w:pStyle w:val="Evidence"/>
      </w:pPr>
    </w:p>
    <w:p w14:paraId="4038B794" w14:textId="527C3374" w:rsidR="00E25C8F" w:rsidRDefault="00E25C8F" w:rsidP="00E25C8F">
      <w:pPr>
        <w:pStyle w:val="Contention2"/>
      </w:pPr>
      <w:bookmarkStart w:id="25" w:name="_Toc31205526"/>
      <w:r>
        <w:t>Failure:  More staffing at SEC just bloated the bureaucracy</w:t>
      </w:r>
      <w:bookmarkEnd w:id="25"/>
    </w:p>
    <w:p w14:paraId="2D2DEC6C" w14:textId="77777777" w:rsidR="00E25C8F" w:rsidRDefault="00E25C8F" w:rsidP="00E25C8F">
      <w:pPr>
        <w:pStyle w:val="Citation3"/>
      </w:pPr>
      <w:r w:rsidRPr="00E25C8F">
        <w:rPr>
          <w:u w:val="single"/>
        </w:rPr>
        <w:t>David Burton 2019</w:t>
      </w:r>
      <w:r>
        <w:t xml:space="preserve">. (Senior Fellow in Economic Policy at Heritage Foundation) 30 Jan 2019 “Reforming the Securities &amp; Exchange Commission) </w:t>
      </w:r>
      <w:hyperlink r:id="rId23" w:history="1">
        <w:r>
          <w:rPr>
            <w:rStyle w:val="Hyperlink"/>
          </w:rPr>
          <w:t>https://www.heritage.org/government-regulation/report/reforming-the-securities-and-exchange-commission</w:t>
        </w:r>
      </w:hyperlink>
    </w:p>
    <w:p w14:paraId="49E4259F" w14:textId="52282D69" w:rsidR="00E25C8F" w:rsidRPr="005D60D7" w:rsidRDefault="00E25C8F" w:rsidP="00E25C8F">
      <w:pPr>
        <w:pStyle w:val="Evidence"/>
      </w:pPr>
      <w:r w:rsidRPr="00E25C8F">
        <w:rPr>
          <w:u w:val="single"/>
        </w:rPr>
        <w:t>Both informal conversations with agency personnel and data support the proposition that the agency has become management heavy and overly bureaucratized. The SEC Office of Minority and Women Inclusion reports that in FY 2017 the SEC had 902 managers.</w:t>
      </w:r>
      <w:bookmarkStart w:id="26" w:name="_ftn18"/>
      <w:bookmarkEnd w:id="26"/>
      <w:r w:rsidRPr="00E25C8F">
        <w:rPr>
          <w:rStyle w:val="annotation-link"/>
          <w:rFonts w:ascii="gotham b" w:eastAsia="Arial" w:hAnsi="gotham b"/>
          <w:b/>
          <w:bCs w:val="0"/>
          <w:color w:val="0093D0"/>
          <w:u w:val="single"/>
          <w:vertAlign w:val="superscript"/>
        </w:rPr>
        <w:t xml:space="preserve"> </w:t>
      </w:r>
      <w:r w:rsidRPr="00E25C8F">
        <w:rPr>
          <w:u w:val="single"/>
        </w:rPr>
        <w:t> Thus, 20 percent of the 4,616 employees at the SEC in FY 2017 were managers.</w:t>
      </w:r>
      <w:bookmarkStart w:id="27" w:name="_ftn19"/>
      <w:bookmarkEnd w:id="27"/>
      <w:r w:rsidRPr="00E25C8F">
        <w:rPr>
          <w:u w:val="single"/>
        </w:rPr>
        <w:t xml:space="preserve"> </w:t>
      </w:r>
      <w:r w:rsidRPr="00E25C8F">
        <w:rPr>
          <w:u w:val="single"/>
        </w:rPr>
        <w:t> In other words, the ratio of employees to managers is 4 to 1. This is an excessive number of managers. In most organizations, the ratio is between 5 to 1 and 10 to 1.</w:t>
      </w:r>
      <w:bookmarkStart w:id="28" w:name="_ftn20"/>
      <w:bookmarkEnd w:id="28"/>
      <w:r>
        <w:t xml:space="preserve"> </w:t>
      </w:r>
      <w:r>
        <w:t> As shown in Table 3</w:t>
      </w:r>
      <w:r w:rsidRPr="00E25C8F">
        <w:rPr>
          <w:u w:val="single"/>
        </w:rPr>
        <w:t>, in the federal government, the average for all agencies is 7.2 to 1</w:t>
      </w:r>
      <w:r>
        <w:t xml:space="preserve"> (80 percent higher than the SEC). </w:t>
      </w:r>
      <w:r w:rsidRPr="00E25C8F">
        <w:rPr>
          <w:u w:val="single"/>
        </w:rPr>
        <w:t>In other words, the SEC has 64 percent more managers per employee than does the federal government on average and 53 percent more managers per employee than other large independent agencies</w:t>
      </w:r>
      <w:r>
        <w:t>.</w:t>
      </w:r>
    </w:p>
    <w:p w14:paraId="4941BE48" w14:textId="77777777" w:rsidR="005905BF" w:rsidRDefault="005905BF" w:rsidP="006167B3">
      <w:pPr>
        <w:pStyle w:val="Contention1"/>
      </w:pPr>
    </w:p>
    <w:p w14:paraId="476C93BE" w14:textId="4D4D0AB9" w:rsidR="006167B3" w:rsidRDefault="005D60D7" w:rsidP="006167B3">
      <w:pPr>
        <w:pStyle w:val="Contention1"/>
      </w:pPr>
      <w:bookmarkStart w:id="29" w:name="_Toc31205527"/>
      <w:r>
        <w:t>3</w:t>
      </w:r>
      <w:r w:rsidR="005905BF">
        <w:t xml:space="preserve">.  </w:t>
      </w:r>
      <w:r w:rsidR="005771EB">
        <w:t xml:space="preserve">Not solving </w:t>
      </w:r>
      <w:r w:rsidR="006167B3">
        <w:t>PHMSA</w:t>
      </w:r>
      <w:bookmarkEnd w:id="29"/>
    </w:p>
    <w:p w14:paraId="707BE99A" w14:textId="5E217D78" w:rsidR="005771EB" w:rsidRDefault="005771EB" w:rsidP="006167B3">
      <w:pPr>
        <w:pStyle w:val="Contention1"/>
      </w:pPr>
    </w:p>
    <w:p w14:paraId="45D74434" w14:textId="2D03A151" w:rsidR="005771EB" w:rsidRDefault="005771EB" w:rsidP="005771EB">
      <w:pPr>
        <w:pStyle w:val="Contention2"/>
      </w:pPr>
      <w:bookmarkStart w:id="30" w:name="_Toc31205528"/>
      <w:r>
        <w:t>The US Dept. of Transportation’s Pipeline and Hazardous Materials Safety Administration is the blockage</w:t>
      </w:r>
      <w:bookmarkEnd w:id="30"/>
    </w:p>
    <w:p w14:paraId="6F4CF98B" w14:textId="3CC874A8" w:rsidR="006167B3" w:rsidRDefault="005771EB" w:rsidP="005771EB">
      <w:pPr>
        <w:pStyle w:val="Citation3"/>
      </w:pPr>
      <w:r w:rsidRPr="005771EB">
        <w:rPr>
          <w:u w:val="single"/>
        </w:rPr>
        <w:t xml:space="preserve">Rachel A. </w:t>
      </w:r>
      <w:proofErr w:type="spellStart"/>
      <w:r w:rsidRPr="005771EB">
        <w:rPr>
          <w:u w:val="single"/>
        </w:rPr>
        <w:t>Meidl</w:t>
      </w:r>
      <w:proofErr w:type="spellEnd"/>
      <w:r w:rsidRPr="005771EB">
        <w:rPr>
          <w:u w:val="single"/>
        </w:rPr>
        <w:t xml:space="preserve"> 2018</w:t>
      </w:r>
      <w:r>
        <w:t xml:space="preserve"> (</w:t>
      </w:r>
      <w:proofErr w:type="gramStart"/>
      <w:r>
        <w:t>LP.D.,</w:t>
      </w:r>
      <w:proofErr w:type="gramEnd"/>
      <w:r>
        <w:t xml:space="preserve"> CHMM, Fellow in Energy and Environment, Center for Energy Studies) 1Oct 2018  FERC and PHMSA Sign Memorandum of Understanding: Is it the Silver Bullet to Expedited LNG Application Reviews? </w:t>
      </w:r>
      <w:hyperlink r:id="rId24" w:history="1">
        <w:r>
          <w:rPr>
            <w:rStyle w:val="Hyperlink"/>
          </w:rPr>
          <w:t>https://www.bakerinstitute.org/media/files/files/8bc35e0a/bi-brief-100118-ces-ferc.pdf</w:t>
        </w:r>
      </w:hyperlink>
      <w:r>
        <w:t xml:space="preserve"> (brackets added)</w:t>
      </w:r>
    </w:p>
    <w:p w14:paraId="5D904DE6" w14:textId="3C6C0231" w:rsidR="006167B3" w:rsidRDefault="006167B3" w:rsidP="006167B3">
      <w:pPr>
        <w:pStyle w:val="Evidence"/>
      </w:pPr>
      <w:r w:rsidRPr="005771EB">
        <w:rPr>
          <w:u w:val="single"/>
        </w:rPr>
        <w:t xml:space="preserve">Although the recent expansion of PHMSA’s obligations in reviewing LNG export projects and the memorialization of a FERC/ PHMSA MOU </w:t>
      </w:r>
      <w:r w:rsidR="005771EB">
        <w:rPr>
          <w:u w:val="single"/>
        </w:rPr>
        <w:t>[</w:t>
      </w:r>
      <w:r w:rsidR="005771EB" w:rsidRPr="005771EB">
        <w:t>Memorandum of Understanding]</w:t>
      </w:r>
      <w:r w:rsidR="005771EB">
        <w:rPr>
          <w:u w:val="single"/>
        </w:rPr>
        <w:t xml:space="preserve"> </w:t>
      </w:r>
      <w:r w:rsidRPr="005771EB">
        <w:rPr>
          <w:u w:val="single"/>
        </w:rPr>
        <w:t>are direct results of external pressures and a shifting LNG market, they will, at least in theory, identify and eliminate process impediments to leverage each agency’s expertise</w:t>
      </w:r>
      <w:r>
        <w:t xml:space="preserve">. However, an MOU is only ritualistic rhetoric of an agency’s intended actions, a formality lacking any practical path forward. </w:t>
      </w:r>
      <w:r w:rsidRPr="005771EB">
        <w:rPr>
          <w:u w:val="single"/>
        </w:rPr>
        <w:t>Furthermore, without a budget increase for PHMSA, an agency that is already under-resourced, understaffed, and has numerous competing priorities and outstanding congressional mandates, it is uncertain whether expanded obligations will further strain the agency and limit the efficiency improvement envisioned in the White House OFD</w:t>
      </w:r>
      <w:r w:rsidR="005771EB">
        <w:rPr>
          <w:u w:val="single"/>
        </w:rPr>
        <w:t xml:space="preserve"> </w:t>
      </w:r>
      <w:r w:rsidR="005771EB" w:rsidRPr="005771EB">
        <w:t>[One Federal Decision]</w:t>
      </w:r>
      <w:r w:rsidRPr="005771EB">
        <w:rPr>
          <w:u w:val="single"/>
        </w:rPr>
        <w:t xml:space="preserve"> MOU</w:t>
      </w:r>
      <w:r w:rsidR="005771EB">
        <w:rPr>
          <w:u w:val="single"/>
        </w:rPr>
        <w:t xml:space="preserve"> </w:t>
      </w:r>
      <w:r w:rsidR="005771EB" w:rsidRPr="005771EB">
        <w:t>[Memorandum of Understanding</w:t>
      </w:r>
      <w:r w:rsidR="005771EB">
        <w:rPr>
          <w:u w:val="single"/>
        </w:rPr>
        <w:t>]</w:t>
      </w:r>
      <w:r>
        <w:t>.</w:t>
      </w:r>
    </w:p>
    <w:p w14:paraId="66F196A3" w14:textId="77777777" w:rsidR="008908D6" w:rsidRDefault="008908D6" w:rsidP="00743FAE">
      <w:pPr>
        <w:pStyle w:val="Contention1"/>
      </w:pPr>
    </w:p>
    <w:p w14:paraId="569C536B" w14:textId="77777777" w:rsidR="003D350E" w:rsidRDefault="003D350E">
      <w:pPr>
        <w:rPr>
          <w:b/>
          <w:bCs/>
          <w:color w:val="000000"/>
          <w:sz w:val="20"/>
          <w:szCs w:val="20"/>
          <w:lang w:eastAsia="fr-FR"/>
        </w:rPr>
      </w:pPr>
      <w:r>
        <w:br w:type="page"/>
      </w:r>
    </w:p>
    <w:p w14:paraId="18C4ADE6" w14:textId="67522D2F" w:rsidR="00743FAE" w:rsidRDefault="00BB0E97" w:rsidP="00743FAE">
      <w:pPr>
        <w:pStyle w:val="Contention1"/>
      </w:pPr>
      <w:bookmarkStart w:id="31" w:name="_Toc31205529"/>
      <w:r>
        <w:lastRenderedPageBreak/>
        <w:t>DISADVANTAGES</w:t>
      </w:r>
      <w:bookmarkEnd w:id="31"/>
    </w:p>
    <w:p w14:paraId="4FF8A432" w14:textId="77777777" w:rsidR="008908D6" w:rsidRDefault="008908D6" w:rsidP="00440897">
      <w:pPr>
        <w:pStyle w:val="Evidence"/>
      </w:pPr>
    </w:p>
    <w:p w14:paraId="397A7B44" w14:textId="001C1EBB" w:rsidR="00440897" w:rsidRDefault="003D350E" w:rsidP="00440897">
      <w:pPr>
        <w:pStyle w:val="Contention1"/>
      </w:pPr>
      <w:bookmarkStart w:id="32" w:name="_Toc31205530"/>
      <w:r>
        <w:t>1</w:t>
      </w:r>
      <w:r w:rsidR="00440897">
        <w:t>.  Federal deficits increase</w:t>
      </w:r>
      <w:bookmarkEnd w:id="32"/>
    </w:p>
    <w:p w14:paraId="3E2F95FF" w14:textId="1F45BFE6" w:rsidR="00440897" w:rsidRDefault="00440897" w:rsidP="00440897">
      <w:pPr>
        <w:pStyle w:val="Contention1"/>
      </w:pPr>
    </w:p>
    <w:p w14:paraId="51DF9479" w14:textId="4F020DDB" w:rsidR="00440897" w:rsidRDefault="00440897" w:rsidP="00440897">
      <w:pPr>
        <w:pStyle w:val="Contention2"/>
      </w:pPr>
      <w:bookmarkStart w:id="33" w:name="_Toc31205531"/>
      <w:r>
        <w:t xml:space="preserve">Link:  AFF must be </w:t>
      </w:r>
      <w:r w:rsidR="008908D6">
        <w:t>increasing funding</w:t>
      </w:r>
      <w:bookmarkEnd w:id="33"/>
    </w:p>
    <w:p w14:paraId="0DB5ED6E" w14:textId="6D664C0B" w:rsidR="00440897" w:rsidRDefault="00440897" w:rsidP="00440897">
      <w:pPr>
        <w:pStyle w:val="Evidence"/>
      </w:pPr>
      <w:r>
        <w:t>If not, they are simply doing the Status Quo</w:t>
      </w:r>
    </w:p>
    <w:p w14:paraId="08802A60" w14:textId="4A345AA2" w:rsidR="00440897" w:rsidRDefault="00440897" w:rsidP="00440897">
      <w:pPr>
        <w:pStyle w:val="Evidence"/>
      </w:pPr>
    </w:p>
    <w:p w14:paraId="033DD159" w14:textId="7CCE421E" w:rsidR="00440897" w:rsidRDefault="00440897" w:rsidP="00440897">
      <w:pPr>
        <w:pStyle w:val="Contention2"/>
      </w:pPr>
      <w:bookmarkStart w:id="34" w:name="_Toc31205532"/>
      <w:r>
        <w:t>Impact:   Every increase in the federal deficit hurts the economy</w:t>
      </w:r>
      <w:bookmarkEnd w:id="34"/>
      <w:r>
        <w:t xml:space="preserve"> </w:t>
      </w:r>
    </w:p>
    <w:p w14:paraId="40D24355" w14:textId="77777777" w:rsidR="00440897" w:rsidRPr="00594653" w:rsidRDefault="00440897" w:rsidP="00440897">
      <w:pPr>
        <w:pStyle w:val="Citation3"/>
        <w:rPr>
          <w:sz w:val="18"/>
          <w:szCs w:val="18"/>
        </w:rPr>
      </w:pPr>
      <w:proofErr w:type="spellStart"/>
      <w:r w:rsidRPr="00EE7E38">
        <w:rPr>
          <w:u w:val="single"/>
        </w:rPr>
        <w:t>Dr</w:t>
      </w:r>
      <w:proofErr w:type="spellEnd"/>
      <w:r w:rsidRPr="00EE7E38">
        <w:rPr>
          <w:u w:val="single"/>
        </w:rPr>
        <w:t xml:space="preserve"> William Gale and Benjamin Harris 201</w:t>
      </w:r>
      <w:r>
        <w:rPr>
          <w:u w:val="single"/>
        </w:rPr>
        <w:t>0</w:t>
      </w:r>
      <w:r w:rsidRPr="00EE7E38">
        <w:t>.  </w:t>
      </w:r>
      <w:proofErr w:type="gramStart"/>
      <w:r w:rsidRPr="00EE7E38">
        <w:t xml:space="preserve">(Gale - PhD in economics, Stanford Univ.; senior fellow at the Brookings Institution and co-director of the Urban-Brookings Tax Policy Center; former assistant professor in </w:t>
      </w:r>
      <w:r w:rsidRPr="00594653">
        <w:rPr>
          <w:sz w:val="18"/>
          <w:szCs w:val="18"/>
        </w:rPr>
        <w:t>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w:t>
      </w:r>
      <w:proofErr w:type="gramEnd"/>
      <w:r w:rsidRPr="00594653">
        <w:rPr>
          <w:sz w:val="18"/>
          <w:szCs w:val="18"/>
        </w:rPr>
        <w:t>“A VAT for the United States: Part of the Solution</w:t>
      </w:r>
      <w:proofErr w:type="gramStart"/>
      <w:r w:rsidRPr="00594653">
        <w:rPr>
          <w:sz w:val="18"/>
          <w:szCs w:val="18"/>
        </w:rPr>
        <w:t>”  </w:t>
      </w:r>
      <w:r w:rsidRPr="001D63AB">
        <w:t>https</w:t>
      </w:r>
      <w:proofErr w:type="gramEnd"/>
      <w:r w:rsidRPr="001D63AB">
        <w:t>://www.brookings.edu/wp-content/uploads/2016/06/0721_vat_for_us_gale.pdf</w:t>
      </w:r>
    </w:p>
    <w:p w14:paraId="5D6DD999" w14:textId="77777777" w:rsidR="00440897" w:rsidRDefault="00440897" w:rsidP="00440897">
      <w:pPr>
        <w:pStyle w:val="Evidence"/>
      </w:pPr>
      <w:proofErr w:type="gramStart"/>
      <w:r w:rsidRPr="008908D6">
        <w:rPr>
          <w:u w:val="single"/>
        </w:rPr>
        <w:t>But</w:t>
      </w:r>
      <w:proofErr w:type="gramEnd"/>
      <w:r w:rsidRPr="008908D6">
        <w:rPr>
          <w:u w:val="single"/>
        </w:rPr>
        <w:t xml:space="preserve"> even</w:t>
      </w:r>
      <w:r w:rsidRPr="00EC2B51">
        <w:rPr>
          <w:u w:val="single"/>
        </w:rPr>
        <w:t xml:space="preserve"> in the absence of a crisis, sustained deficits have deleterious effects, as they translate into lower national savings, higher interest rates, and increased indebtedness to foreign investors, all of which serve to reduce future national income</w:t>
      </w:r>
      <w:r w:rsidRPr="008908D6">
        <w:rPr>
          <w:u w:val="single"/>
        </w:rPr>
        <w:t xml:space="preserve">. Gale and </w:t>
      </w:r>
      <w:proofErr w:type="spellStart"/>
      <w:r w:rsidRPr="008908D6">
        <w:rPr>
          <w:u w:val="single"/>
        </w:rPr>
        <w:t>Orszag</w:t>
      </w:r>
      <w:proofErr w:type="spellEnd"/>
      <w:r w:rsidRPr="00EE7E38">
        <w:t xml:space="preserve"> (2004a) </w:t>
      </w:r>
      <w:r w:rsidRPr="008908D6">
        <w:rPr>
          <w:u w:val="single"/>
        </w:rPr>
        <w:t>estimate that</w:t>
      </w:r>
      <w:r w:rsidRPr="00EE7E38">
        <w:t xml:space="preserve"> </w:t>
      </w:r>
      <w:r w:rsidRPr="00EC2B51">
        <w:rPr>
          <w:u w:val="single"/>
        </w:rPr>
        <w:t>a 1 percent of GDP increase in the deficit will raise interest rates by 25 to 35 basis points and reduce national saving by 0.5 to 0.8 percentage points of GDP</w:t>
      </w:r>
      <w:r w:rsidRPr="00EE7E38">
        <w:t xml:space="preserve">. </w:t>
      </w:r>
    </w:p>
    <w:p w14:paraId="44DA5898" w14:textId="1159AF35" w:rsidR="00440897" w:rsidRDefault="00440897" w:rsidP="00440897">
      <w:pPr>
        <w:pStyle w:val="Contention2"/>
      </w:pPr>
    </w:p>
    <w:p w14:paraId="38A34D3C" w14:textId="2E18B4CB" w:rsidR="003D350E" w:rsidRDefault="00F93585" w:rsidP="003D350E">
      <w:pPr>
        <w:pStyle w:val="Contention1"/>
      </w:pPr>
      <w:bookmarkStart w:id="35" w:name="_Toc31205533"/>
      <w:r>
        <w:t>2.  Fracking</w:t>
      </w:r>
      <w:bookmarkEnd w:id="35"/>
    </w:p>
    <w:p w14:paraId="525C79AE" w14:textId="1996A69A" w:rsidR="003D350E" w:rsidRDefault="003D350E" w:rsidP="003D350E">
      <w:pPr>
        <w:pStyle w:val="Contention1"/>
      </w:pPr>
    </w:p>
    <w:p w14:paraId="438226CE" w14:textId="2B8A6581" w:rsidR="003D350E" w:rsidRDefault="003D350E" w:rsidP="003D350E">
      <w:pPr>
        <w:pStyle w:val="Contention2"/>
      </w:pPr>
      <w:bookmarkStart w:id="36" w:name="_Toc31205534"/>
      <w:r>
        <w:t xml:space="preserve">Link:  Increasing FERC salaries </w:t>
      </w:r>
      <w:proofErr w:type="gramStart"/>
      <w:r>
        <w:t>is intended</w:t>
      </w:r>
      <w:proofErr w:type="gramEnd"/>
      <w:r>
        <w:t xml:space="preserve"> to speed up / increase Liquefied Natural Gas terminals for exports</w:t>
      </w:r>
      <w:bookmarkEnd w:id="36"/>
    </w:p>
    <w:p w14:paraId="7764C147" w14:textId="6DB389AC" w:rsidR="003D350E" w:rsidRPr="003D350E" w:rsidRDefault="003D350E" w:rsidP="003D350E">
      <w:pPr>
        <w:pStyle w:val="Citation3"/>
      </w:pPr>
      <w:r w:rsidRPr="00F93585">
        <w:rPr>
          <w:u w:val="single"/>
        </w:rPr>
        <w:t>James Osborne 2018</w:t>
      </w:r>
      <w:r w:rsidRPr="003D350E">
        <w:t xml:space="preserve"> (journalist) 27 July 2018 “Congress looking to ease FERC backlog, raising staff salaries” </w:t>
      </w:r>
      <w:hyperlink r:id="rId25" w:history="1">
        <w:r w:rsidRPr="003D350E">
          <w:rPr>
            <w:rStyle w:val="Hyperlink"/>
            <w:color w:val="auto"/>
            <w:u w:val="none"/>
          </w:rPr>
          <w:t>https://www.chron.com/business/energy/article/Congress-looking-to-ease-FERC-backlog-raising-13110285.php</w:t>
        </w:r>
      </w:hyperlink>
    </w:p>
    <w:p w14:paraId="4B3D796A" w14:textId="23383FE1" w:rsidR="003D350E" w:rsidRPr="003D350E" w:rsidRDefault="003D350E" w:rsidP="003D350E">
      <w:pPr>
        <w:pStyle w:val="Evidence"/>
      </w:pPr>
      <w:r w:rsidRPr="003D350E">
        <w:t>A backlog in permitting new LNG terminals at the Federal Energy Regulatory Commission has drawn the attention of two Texas Congressmen.</w:t>
      </w:r>
      <w:r>
        <w:t xml:space="preserve"> </w:t>
      </w:r>
      <w:r w:rsidRPr="003D350E">
        <w:t xml:space="preserve">Rep. Pete Olson, R-Sugar Land, and Rep. Gene Green, D-Houston, have introduced legislation that would raise staff salaries at the commission to try </w:t>
      </w:r>
      <w:proofErr w:type="gramStart"/>
      <w:r w:rsidRPr="003D350E">
        <w:t>and</w:t>
      </w:r>
      <w:proofErr w:type="gramEnd"/>
      <w:r w:rsidRPr="003D350E">
        <w:t xml:space="preserve"> attract more of the engineers needed to review the permit applications.</w:t>
      </w:r>
      <w:r>
        <w:t xml:space="preserve"> </w:t>
      </w:r>
      <w:r w:rsidRPr="003D350E">
        <w:t>"Our energy can't be properly utilized sitting in storage instead of being shipped to markets that need it. We must address this fundamental backlog in a smart way," Olson said in a statement.</w:t>
      </w:r>
    </w:p>
    <w:p w14:paraId="7E3EDAF0" w14:textId="4FF01716" w:rsidR="003D350E" w:rsidRDefault="00F93585" w:rsidP="003D350E">
      <w:pPr>
        <w:pStyle w:val="Contention2"/>
      </w:pPr>
      <w:r>
        <w:br/>
      </w:r>
      <w:bookmarkStart w:id="37" w:name="_Toc31205535"/>
      <w:r>
        <w:t>Link:  Increased LNG exports = Big increase in fracking for more natural gas in the US</w:t>
      </w:r>
      <w:bookmarkEnd w:id="37"/>
    </w:p>
    <w:p w14:paraId="78D5787F" w14:textId="2FF7BBE3" w:rsidR="003D350E" w:rsidRPr="003D350E" w:rsidRDefault="003D350E" w:rsidP="003D350E">
      <w:pPr>
        <w:pStyle w:val="Citation3"/>
      </w:pPr>
      <w:r w:rsidRPr="00F93585">
        <w:rPr>
          <w:u w:val="single"/>
        </w:rPr>
        <w:t xml:space="preserve">Michael </w:t>
      </w:r>
      <w:proofErr w:type="spellStart"/>
      <w:r w:rsidRPr="00F93585">
        <w:rPr>
          <w:u w:val="single"/>
        </w:rPr>
        <w:t>Brune</w:t>
      </w:r>
      <w:proofErr w:type="spellEnd"/>
      <w:r w:rsidRPr="00F93585">
        <w:rPr>
          <w:u w:val="single"/>
        </w:rPr>
        <w:t xml:space="preserve"> 2013.</w:t>
      </w:r>
      <w:r w:rsidRPr="003D350E">
        <w:t xml:space="preserve"> (</w:t>
      </w:r>
      <w:proofErr w:type="gramStart"/>
      <w:r w:rsidRPr="003D350E">
        <w:t>executive</w:t>
      </w:r>
      <w:proofErr w:type="gramEnd"/>
      <w:r w:rsidRPr="003D350E">
        <w:t xml:space="preserve"> director of the Sierra Club, holds degrees in Economics and Finance from West Chester University in Pennsylvania) 30 May 2013 “Top 5 Reasons LNG Exports Are a Very Bad Idea”  </w:t>
      </w:r>
      <w:hyperlink r:id="rId26" w:history="1">
        <w:r w:rsidRPr="003D350E">
          <w:rPr>
            <w:rStyle w:val="Hyperlink"/>
            <w:color w:val="auto"/>
            <w:u w:val="none"/>
          </w:rPr>
          <w:t>https://www.ecowatch.com/new-jersey-climate-crisis-building-permits-2644940252.html</w:t>
        </w:r>
      </w:hyperlink>
    </w:p>
    <w:p w14:paraId="58C1E104" w14:textId="77777777" w:rsidR="003D350E" w:rsidRPr="003D350E" w:rsidRDefault="003D350E" w:rsidP="003D350E">
      <w:pPr>
        <w:pStyle w:val="Evidence"/>
      </w:pPr>
      <w:r w:rsidRPr="003D350E">
        <w:t xml:space="preserve">Future generations will be incredulous that we ever debated the wisdom of increasing LNG exports. The permits that the Department of Energy is considering would export as much as 45 percent of current U.S. gas production. Once the terminals are built, trade agreements </w:t>
      </w:r>
      <w:proofErr w:type="gramStart"/>
      <w:r w:rsidRPr="003D350E">
        <w:t>like</w:t>
      </w:r>
      <w:proofErr w:type="gramEnd"/>
      <w:r w:rsidRPr="003D350E">
        <w:t xml:space="preserve"> the Trans Pacific Partnership (TPP) currently being negotiated could make it difficult to impossible to </w:t>
      </w:r>
      <w:hyperlink r:id="rId27" w:tgtFrame="_blank" w:history="1">
        <w:r w:rsidRPr="003D350E">
          <w:rPr>
            <w:rStyle w:val="Hyperlink"/>
            <w:rFonts w:eastAsia="Arial"/>
            <w:color w:val="000000"/>
            <w:u w:val="none"/>
          </w:rPr>
          <w:t>limit how much gas</w:t>
        </w:r>
      </w:hyperlink>
      <w:r w:rsidRPr="003D350E">
        <w:t> we actually export. The result will be higher domestic prices as well a lot more </w:t>
      </w:r>
      <w:hyperlink r:id="rId28" w:tgtFrame="_blank" w:history="1">
        <w:r w:rsidRPr="003D350E">
          <w:rPr>
            <w:rStyle w:val="Hyperlink"/>
            <w:rFonts w:eastAsia="Arial"/>
            <w:color w:val="000000"/>
            <w:u w:val="none"/>
          </w:rPr>
          <w:t>drilling for natural gas</w:t>
        </w:r>
      </w:hyperlink>
      <w:r w:rsidRPr="003D350E">
        <w:t>—primarily by </w:t>
      </w:r>
      <w:hyperlink r:id="rId29" w:tgtFrame="_blank" w:history="1">
        <w:r w:rsidRPr="003D350E">
          <w:rPr>
            <w:rStyle w:val="Hyperlink"/>
            <w:rFonts w:eastAsia="Arial"/>
            <w:color w:val="000000"/>
            <w:u w:val="none"/>
          </w:rPr>
          <w:t>fracking</w:t>
        </w:r>
      </w:hyperlink>
      <w:r w:rsidRPr="003D350E">
        <w:t>.</w:t>
      </w:r>
    </w:p>
    <w:p w14:paraId="41CB8036" w14:textId="6F7E81CC" w:rsidR="003D350E" w:rsidRDefault="003D350E" w:rsidP="003D350E">
      <w:pPr>
        <w:pStyle w:val="Evidence"/>
        <w:rPr>
          <w:lang w:eastAsia="en-US"/>
        </w:rPr>
      </w:pPr>
    </w:p>
    <w:p w14:paraId="52803309" w14:textId="2A6123E0" w:rsidR="00D44B38" w:rsidRDefault="00D44B38" w:rsidP="00F93585">
      <w:pPr>
        <w:pStyle w:val="Contention2"/>
      </w:pPr>
      <w:bookmarkStart w:id="38" w:name="_Toc31205536"/>
      <w:r>
        <w:lastRenderedPageBreak/>
        <w:t>Impact:  Air pollution, sickness and death</w:t>
      </w:r>
      <w:bookmarkEnd w:id="38"/>
    </w:p>
    <w:p w14:paraId="2B91EE1B" w14:textId="77777777" w:rsidR="00D44B38" w:rsidRPr="003D350E" w:rsidRDefault="00D44B38" w:rsidP="00D44B38">
      <w:pPr>
        <w:pStyle w:val="Citation3"/>
      </w:pPr>
      <w:r w:rsidRPr="00F93585">
        <w:rPr>
          <w:u w:val="single"/>
        </w:rPr>
        <w:t xml:space="preserve">Michael </w:t>
      </w:r>
      <w:proofErr w:type="spellStart"/>
      <w:r w:rsidRPr="00F93585">
        <w:rPr>
          <w:u w:val="single"/>
        </w:rPr>
        <w:t>Brune</w:t>
      </w:r>
      <w:proofErr w:type="spellEnd"/>
      <w:r w:rsidRPr="00F93585">
        <w:rPr>
          <w:u w:val="single"/>
        </w:rPr>
        <w:t xml:space="preserve"> 2013.</w:t>
      </w:r>
      <w:r w:rsidRPr="003D350E">
        <w:t xml:space="preserve"> (</w:t>
      </w:r>
      <w:proofErr w:type="gramStart"/>
      <w:r w:rsidRPr="003D350E">
        <w:t>executive</w:t>
      </w:r>
      <w:proofErr w:type="gramEnd"/>
      <w:r w:rsidRPr="003D350E">
        <w:t xml:space="preserve"> director of the Sierra Club, holds degrees in Economics and Finance from West Chester University in Pennsylvania) 30 May 2013 “Top 5 Reasons LNG Exports Are a Very Bad Idea”  </w:t>
      </w:r>
      <w:hyperlink r:id="rId30" w:history="1">
        <w:r w:rsidRPr="003D350E">
          <w:rPr>
            <w:rStyle w:val="Hyperlink"/>
            <w:color w:val="auto"/>
            <w:u w:val="none"/>
          </w:rPr>
          <w:t>https://www.ecowatch.com/new-jersey-climate-crisis-building-permits-2644940252.html</w:t>
        </w:r>
      </w:hyperlink>
    </w:p>
    <w:p w14:paraId="06F0E44B" w14:textId="7C8605DC" w:rsidR="00D44B38" w:rsidRPr="00D44B38" w:rsidRDefault="00D44B38" w:rsidP="00D44B38">
      <w:pPr>
        <w:pStyle w:val="Evidence"/>
        <w:rPr>
          <w:u w:val="single"/>
        </w:rPr>
      </w:pPr>
      <w:r w:rsidRPr="00D44B38">
        <w:rPr>
          <w:u w:val="single"/>
        </w:rPr>
        <w:t>The current shale-gas rush has already had serious effects on our air quality.</w:t>
      </w:r>
      <w:r w:rsidRPr="00D44B38">
        <w:t xml:space="preserve"> As the Department of Energy's own </w:t>
      </w:r>
      <w:hyperlink r:id="rId31" w:tgtFrame="_blank" w:history="1">
        <w:r w:rsidRPr="00D44B38">
          <w:rPr>
            <w:rStyle w:val="Hyperlink"/>
            <w:rFonts w:eastAsia="Arial"/>
            <w:color w:val="000000"/>
            <w:u w:val="none"/>
          </w:rPr>
          <w:t>Shale Gas Subcommittee reported</w:t>
        </w:r>
      </w:hyperlink>
      <w:r w:rsidRPr="00D44B38">
        <w:t>: "Significant air quality impacts from oil and gas operations in Wyoming, Colorado, Utah and Texas are well documented, and air quality issues are of increasing concern in the Marcellus region (in parts of Ohio, Pennsylvania, West Virginia and New York</w:t>
      </w:r>
      <w:r w:rsidRPr="00D44B38">
        <w:rPr>
          <w:u w:val="single"/>
        </w:rPr>
        <w:t xml:space="preserve">)." Because of natural gas drilling, parts of rural Wyoming now have smog worse than that of downtown Los Angeles. This air pollution </w:t>
      </w:r>
      <w:proofErr w:type="gramStart"/>
      <w:r w:rsidRPr="00D44B38">
        <w:rPr>
          <w:u w:val="single"/>
        </w:rPr>
        <w:t>doesn't</w:t>
      </w:r>
      <w:proofErr w:type="gramEnd"/>
      <w:r w:rsidRPr="00D44B38">
        <w:rPr>
          <w:u w:val="single"/>
        </w:rPr>
        <w:t xml:space="preserve"> just spoil the view—it's been linked to respiratory disease, heart failure, and premature death.</w:t>
      </w:r>
    </w:p>
    <w:p w14:paraId="097CAFAE" w14:textId="77777777" w:rsidR="00D44B38" w:rsidRDefault="00D44B38" w:rsidP="00F93585">
      <w:pPr>
        <w:pStyle w:val="Contention2"/>
      </w:pPr>
    </w:p>
    <w:p w14:paraId="63465D1A" w14:textId="11826598" w:rsidR="00F93585" w:rsidRDefault="00F93585" w:rsidP="00F93585">
      <w:pPr>
        <w:pStyle w:val="Contention2"/>
      </w:pPr>
      <w:bookmarkStart w:id="39" w:name="_Toc31205537"/>
      <w:r>
        <w:t>Impact:  Contaminated groundwater</w:t>
      </w:r>
      <w:bookmarkEnd w:id="39"/>
    </w:p>
    <w:p w14:paraId="5B377299" w14:textId="2D70289B" w:rsidR="00F93585" w:rsidRDefault="00F93585" w:rsidP="00F93585">
      <w:pPr>
        <w:pStyle w:val="Citation3"/>
      </w:pPr>
      <w:r w:rsidRPr="00F93585">
        <w:rPr>
          <w:u w:val="single"/>
        </w:rPr>
        <w:t>Joe Hoffman 2012</w:t>
      </w:r>
      <w:r w:rsidRPr="00F93585">
        <w:t>. (</w:t>
      </w:r>
      <w:proofErr w:type="gramStart"/>
      <w:r>
        <w:t>geologist</w:t>
      </w:r>
      <w:proofErr w:type="gramEnd"/>
      <w:r>
        <w:t xml:space="preserve"> at Montana State Univ.</w:t>
      </w:r>
      <w:r w:rsidRPr="00F93585">
        <w:t xml:space="preserve">) Potential Health and Environmental Effects of </w:t>
      </w:r>
      <w:proofErr w:type="spellStart"/>
      <w:r w:rsidRPr="00F93585">
        <w:t>Hydrofracking</w:t>
      </w:r>
      <w:proofErr w:type="spellEnd"/>
      <w:r w:rsidRPr="00F93585">
        <w:t xml:space="preserve"> in the Williston Basin, Montana</w:t>
      </w:r>
      <w:r>
        <w:t xml:space="preserve"> </w:t>
      </w:r>
      <w:hyperlink r:id="rId32" w:history="1">
        <w:r>
          <w:rPr>
            <w:rStyle w:val="Hyperlink"/>
          </w:rPr>
          <w:t>https://serc.carleton.edu/NAGTWorkshops/health/case_studies/hydrofracking_w.html</w:t>
        </w:r>
      </w:hyperlink>
    </w:p>
    <w:p w14:paraId="4008CA36" w14:textId="3F430844" w:rsidR="00F93585" w:rsidRPr="00F93585" w:rsidRDefault="00F93585" w:rsidP="00F93585">
      <w:pPr>
        <w:pStyle w:val="Evidence"/>
      </w:pPr>
      <w:r w:rsidRPr="00F93585">
        <w:rPr>
          <w:u w:val="single"/>
        </w:rPr>
        <w:t xml:space="preserve">Chemical additives </w:t>
      </w:r>
      <w:proofErr w:type="gramStart"/>
      <w:r w:rsidRPr="00F93585">
        <w:rPr>
          <w:u w:val="single"/>
        </w:rPr>
        <w:t>are used</w:t>
      </w:r>
      <w:proofErr w:type="gramEnd"/>
      <w:r w:rsidRPr="00F93585">
        <w:rPr>
          <w:u w:val="single"/>
        </w:rPr>
        <w:t xml:space="preserve"> in the drilling mud, slurries and fluids required for the fracking process. Each well produces millions of gallons of toxic fluid containing not only the added chemicals, </w:t>
      </w:r>
      <w:proofErr w:type="gramStart"/>
      <w:r w:rsidRPr="00F93585">
        <w:rPr>
          <w:u w:val="single"/>
        </w:rPr>
        <w:t>but</w:t>
      </w:r>
      <w:proofErr w:type="gramEnd"/>
      <w:r w:rsidRPr="00F93585">
        <w:rPr>
          <w:u w:val="single"/>
        </w:rPr>
        <w:t xml:space="preserve"> other naturally occurring radioactive material, liquid hydrocarbons, brine water and heavy metals. Fissures created by the fracking process can also create underground pathways for gases, chemicals and radioactive material. The Environmental Protection Agency </w:t>
      </w:r>
      <w:hyperlink r:id="rId33" w:history="1">
        <w:r w:rsidRPr="00F93585">
          <w:rPr>
            <w:rStyle w:val="Hyperlink"/>
            <w:rFonts w:eastAsia="Arial"/>
            <w:color w:val="000000"/>
            <w:u w:val="single"/>
          </w:rPr>
          <w:t>(EPA)</w:t>
        </w:r>
      </w:hyperlink>
      <w:r w:rsidRPr="00F93585">
        <w:rPr>
          <w:u w:val="single"/>
        </w:rPr>
        <w:t> and United States Geological Survey </w:t>
      </w:r>
      <w:hyperlink r:id="rId34" w:history="1">
        <w:r w:rsidRPr="00F93585">
          <w:rPr>
            <w:rStyle w:val="Hyperlink"/>
            <w:rFonts w:eastAsia="Arial"/>
            <w:color w:val="000000"/>
            <w:u w:val="single"/>
          </w:rPr>
          <w:t>(USGS)</w:t>
        </w:r>
      </w:hyperlink>
      <w:r w:rsidRPr="00F93585">
        <w:rPr>
          <w:u w:val="single"/>
        </w:rPr>
        <w:t xml:space="preserve"> have recently confirmed what residents of </w:t>
      </w:r>
      <w:proofErr w:type="spellStart"/>
      <w:r w:rsidRPr="00F93585">
        <w:rPr>
          <w:u w:val="single"/>
        </w:rPr>
        <w:t>Pavillion</w:t>
      </w:r>
      <w:proofErr w:type="spellEnd"/>
      <w:r w:rsidRPr="00F93585">
        <w:rPr>
          <w:u w:val="single"/>
        </w:rPr>
        <w:t xml:space="preserve">, Wyoming had been claiming--that </w:t>
      </w:r>
      <w:proofErr w:type="spellStart"/>
      <w:r w:rsidRPr="00F93585">
        <w:rPr>
          <w:u w:val="single"/>
        </w:rPr>
        <w:t>hydrofracking</w:t>
      </w:r>
      <w:proofErr w:type="spellEnd"/>
      <w:r w:rsidRPr="00F93585">
        <w:rPr>
          <w:u w:val="single"/>
        </w:rPr>
        <w:t xml:space="preserve"> had contaminated their groundwater</w:t>
      </w:r>
      <w:r w:rsidRPr="00F93585">
        <w:t>. The Environmental Protection Agency (EPA) initially under an </w:t>
      </w:r>
      <w:hyperlink r:id="rId35" w:history="1">
        <w:r w:rsidRPr="00F93585">
          <w:rPr>
            <w:rStyle w:val="Hyperlink"/>
            <w:rFonts w:eastAsia="Arial"/>
            <w:color w:val="000000"/>
            <w:u w:val="none"/>
          </w:rPr>
          <w:t>emergency administrative order</w:t>
        </w:r>
      </w:hyperlink>
      <w:r w:rsidRPr="00F93585">
        <w:t xml:space="preserve"> forced three oil production companies operating on the Fort Peck Reservation, to reimburse the city of Poplar, MT for water infrastructure expenditures incurred </w:t>
      </w:r>
      <w:proofErr w:type="gramStart"/>
      <w:r w:rsidRPr="00F93585">
        <w:t>as a result</w:t>
      </w:r>
      <w:proofErr w:type="gramEnd"/>
      <w:r w:rsidRPr="00F93585">
        <w:t xml:space="preserve"> of drilling contamination. The oil companies appealed the EPA order, but </w:t>
      </w:r>
      <w:proofErr w:type="gramStart"/>
      <w:r w:rsidRPr="00F93585">
        <w:t>were forced</w:t>
      </w:r>
      <w:proofErr w:type="gramEnd"/>
      <w:r w:rsidRPr="00F93585">
        <w:t xml:space="preserve"> to rectify their violations by a federal judge. Another scenario for contamination to occur is by faulty design or construction of the cement well casings--something that happened in the BP Gulf blowout disaster. </w:t>
      </w:r>
      <w:r w:rsidRPr="00F93585">
        <w:rPr>
          <w:u w:val="single"/>
        </w:rPr>
        <w:t xml:space="preserve">Storage of the </w:t>
      </w:r>
      <w:proofErr w:type="gramStart"/>
      <w:r w:rsidRPr="00F93585">
        <w:rPr>
          <w:u w:val="single"/>
        </w:rPr>
        <w:t>waste water</w:t>
      </w:r>
      <w:proofErr w:type="gramEnd"/>
      <w:r w:rsidRPr="00F93585">
        <w:rPr>
          <w:u w:val="single"/>
        </w:rPr>
        <w:t xml:space="preserve"> is currently under the regulatory jurisdiction of states, many of whom have weak to nonexistent policies protecting the environment.</w:t>
      </w:r>
    </w:p>
    <w:p w14:paraId="0747A8FD" w14:textId="3816621B" w:rsidR="00F93585" w:rsidRDefault="00F93585" w:rsidP="00F93585">
      <w:pPr>
        <w:pStyle w:val="Contention2"/>
      </w:pPr>
    </w:p>
    <w:p w14:paraId="4DBE7A1A" w14:textId="694AC5A8" w:rsidR="00F93585" w:rsidRDefault="00F93585" w:rsidP="00F93585">
      <w:pPr>
        <w:pStyle w:val="Contention2"/>
      </w:pPr>
      <w:bookmarkStart w:id="40" w:name="_Toc31205538"/>
      <w:r>
        <w:t>Impact:  Earthquakes and toxic wastewater</w:t>
      </w:r>
      <w:bookmarkEnd w:id="40"/>
    </w:p>
    <w:p w14:paraId="7D2C9C9B" w14:textId="77777777" w:rsidR="00F93585" w:rsidRDefault="00F93585" w:rsidP="00F93585">
      <w:pPr>
        <w:pStyle w:val="Citation3"/>
      </w:pPr>
      <w:r w:rsidRPr="00F93585">
        <w:rPr>
          <w:u w:val="single"/>
        </w:rPr>
        <w:t>Joe Hoffman 2012</w:t>
      </w:r>
      <w:r w:rsidRPr="00F93585">
        <w:t>. (</w:t>
      </w:r>
      <w:proofErr w:type="gramStart"/>
      <w:r>
        <w:t>geologist</w:t>
      </w:r>
      <w:proofErr w:type="gramEnd"/>
      <w:r>
        <w:t xml:space="preserve"> at Montana State Univ.</w:t>
      </w:r>
      <w:r w:rsidRPr="00F93585">
        <w:t xml:space="preserve">) Potential Health and Environmental Effects of </w:t>
      </w:r>
      <w:proofErr w:type="spellStart"/>
      <w:r w:rsidRPr="00F93585">
        <w:t>Hydrofracking</w:t>
      </w:r>
      <w:proofErr w:type="spellEnd"/>
      <w:r w:rsidRPr="00F93585">
        <w:t xml:space="preserve"> in the Williston Basin, Montana</w:t>
      </w:r>
      <w:r>
        <w:t xml:space="preserve"> </w:t>
      </w:r>
      <w:hyperlink r:id="rId36" w:history="1">
        <w:r>
          <w:rPr>
            <w:rStyle w:val="Hyperlink"/>
          </w:rPr>
          <w:t>https://serc.carleton.edu/NAGTWorkshops/health/case_studies/hydrofracking_w.html</w:t>
        </w:r>
      </w:hyperlink>
    </w:p>
    <w:p w14:paraId="08AE31CD" w14:textId="77777777" w:rsidR="00F93585" w:rsidRPr="00F93585" w:rsidRDefault="00F93585" w:rsidP="00F93585">
      <w:pPr>
        <w:pStyle w:val="Evidence"/>
      </w:pPr>
      <w:r w:rsidRPr="00F93585">
        <w:t>Earthquakes constitute another problem associated with deep-well oil and gas drilling. Scientists refer to the earthquakes caused by the injection of fracking wastewater underground as </w:t>
      </w:r>
      <w:hyperlink r:id="rId37" w:history="1">
        <w:r w:rsidRPr="00F93585">
          <w:rPr>
            <w:rStyle w:val="Hyperlink"/>
            <w:rFonts w:eastAsia="Arial"/>
            <w:color w:val="000000"/>
            <w:u w:val="none"/>
          </w:rPr>
          <w:t>"induced seismic events."</w:t>
        </w:r>
      </w:hyperlink>
      <w:r w:rsidRPr="00F93585">
        <w:t> Although most of the earthquakes are small in magnitude (the strongest measured 5.2), their relationship with the storage of millions of gallons of toxic wastewater does little to ease the fears over fossil energy's long list of externalities.</w:t>
      </w:r>
    </w:p>
    <w:p w14:paraId="371D2BFD" w14:textId="40B0599A" w:rsidR="00F93585" w:rsidRDefault="00AC0D28" w:rsidP="00F93585">
      <w:pPr>
        <w:pStyle w:val="Contention2"/>
      </w:pPr>
      <w:r>
        <w:lastRenderedPageBreak/>
        <w:br/>
      </w:r>
      <w:bookmarkStart w:id="41" w:name="_Toc31205539"/>
      <w:r w:rsidR="00F93585">
        <w:t>Impact:  Harm to human health</w:t>
      </w:r>
      <w:bookmarkEnd w:id="41"/>
    </w:p>
    <w:p w14:paraId="0370B4DF" w14:textId="77777777" w:rsidR="00AC0D28" w:rsidRDefault="00AC0D28" w:rsidP="00AC0D28">
      <w:pPr>
        <w:pStyle w:val="Citation3"/>
      </w:pPr>
      <w:r w:rsidRPr="00F93585">
        <w:rPr>
          <w:u w:val="single"/>
        </w:rPr>
        <w:t>Joe Hoffman 2012</w:t>
      </w:r>
      <w:r w:rsidRPr="00F93585">
        <w:t>. (</w:t>
      </w:r>
      <w:proofErr w:type="gramStart"/>
      <w:r>
        <w:t>geologist</w:t>
      </w:r>
      <w:proofErr w:type="gramEnd"/>
      <w:r>
        <w:t xml:space="preserve"> at Montana State Univ.</w:t>
      </w:r>
      <w:r w:rsidRPr="00F93585">
        <w:t xml:space="preserve">) Potential Health and Environmental Effects of </w:t>
      </w:r>
      <w:proofErr w:type="spellStart"/>
      <w:r w:rsidRPr="00F93585">
        <w:t>Hydrofracking</w:t>
      </w:r>
      <w:proofErr w:type="spellEnd"/>
      <w:r w:rsidRPr="00F93585">
        <w:t xml:space="preserve"> in the Williston Basin, Montana</w:t>
      </w:r>
      <w:r>
        <w:t xml:space="preserve"> </w:t>
      </w:r>
      <w:hyperlink r:id="rId38" w:history="1">
        <w:r>
          <w:rPr>
            <w:rStyle w:val="Hyperlink"/>
          </w:rPr>
          <w:t>https://serc.carleton.edu/NAGTWorkshops/health/case_studies/hydrofracking_w.html</w:t>
        </w:r>
      </w:hyperlink>
    </w:p>
    <w:p w14:paraId="750B774A" w14:textId="3D86757B" w:rsidR="00F93585" w:rsidRPr="00AC0D28" w:rsidRDefault="00F93585" w:rsidP="00AC0D28">
      <w:pPr>
        <w:pStyle w:val="Evidence"/>
      </w:pPr>
      <w:r w:rsidRPr="00AC0D28">
        <w:t>A 2011 article in the journal, </w:t>
      </w:r>
      <w:r w:rsidRPr="00AC0D28">
        <w:rPr>
          <w:rStyle w:val="Emphasis"/>
          <w:rFonts w:eastAsia="Arial"/>
          <w:i w:val="0"/>
          <w:iCs w:val="0"/>
        </w:rPr>
        <w:t>Human and Ecological Risk Assessment</w:t>
      </w:r>
      <w:r w:rsidRPr="00AC0D28">
        <w:t>, examined the </w:t>
      </w:r>
      <w:hyperlink r:id="rId39" w:history="1">
        <w:r w:rsidRPr="00AC0D28">
          <w:rPr>
            <w:rStyle w:val="Hyperlink"/>
            <w:rFonts w:eastAsia="Arial"/>
            <w:color w:val="000000"/>
            <w:u w:val="none"/>
          </w:rPr>
          <w:t>potential health impacts of oil and gas drilling</w:t>
        </w:r>
      </w:hyperlink>
      <w:r w:rsidRPr="00AC0D28">
        <w:t xml:space="preserve"> in relation to the chemicals used during drilling, fracking, </w:t>
      </w:r>
      <w:proofErr w:type="spellStart"/>
      <w:r w:rsidRPr="00AC0D28">
        <w:t>processing</w:t>
      </w:r>
      <w:proofErr w:type="gramStart"/>
      <w:r w:rsidRPr="00AC0D28">
        <w:t>,and</w:t>
      </w:r>
      <w:proofErr w:type="spellEnd"/>
      <w:proofErr w:type="gramEnd"/>
      <w:r w:rsidRPr="00AC0D28">
        <w:t xml:space="preserve"> delivery of natural gas. The paper compiled a list of 632 chemicals (an incomplete list due to trade secrecy exemptions) identified from drilling operations throughout the U.S. Their research found that 75% of the chemicals could affect the skin, </w:t>
      </w:r>
      <w:proofErr w:type="spellStart"/>
      <w:r w:rsidRPr="00AC0D28">
        <w:t>eyes</w:t>
      </w:r>
      <w:proofErr w:type="gramStart"/>
      <w:r w:rsidRPr="00AC0D28">
        <w:t>,and</w:t>
      </w:r>
      <w:proofErr w:type="spellEnd"/>
      <w:proofErr w:type="gramEnd"/>
      <w:r w:rsidRPr="00AC0D28">
        <w:t xml:space="preserve"> other sensory organs, and the respiratory and gastrointestinal systems. Approximately 40–50% could affect the brain/nervous system, immune and cardiovascular systems, and the kidneys; 37% could affect the endocrine system; and 25% could cause cancer and mutations.</w:t>
      </w:r>
      <w:r w:rsidR="00AC0D28" w:rsidRPr="00AC0D28">
        <w:t xml:space="preserve"> </w:t>
      </w:r>
      <w:r w:rsidRPr="00AC0D28">
        <w:t xml:space="preserve">Health </w:t>
      </w:r>
      <w:proofErr w:type="gramStart"/>
      <w:r w:rsidRPr="00AC0D28">
        <w:t>impacts from fracking are only now being examined by health experts</w:t>
      </w:r>
      <w:proofErr w:type="gramEnd"/>
      <w:r w:rsidRPr="00AC0D28">
        <w:t>, since such large-scale drilling is a recent phenomenon. Exposure to toxic chemicals even at low levels can cause tremendous harm to humans; the endocrine system is sensitive to chemical exposures measuring in parts-per-billions, or less.</w:t>
      </w:r>
    </w:p>
    <w:p w14:paraId="5386E047" w14:textId="77777777" w:rsidR="00F93585" w:rsidRPr="003D350E" w:rsidRDefault="00F93585" w:rsidP="00F93585">
      <w:pPr>
        <w:pStyle w:val="Contention2"/>
      </w:pPr>
    </w:p>
    <w:p w14:paraId="2927F138" w14:textId="77777777" w:rsidR="00D00199" w:rsidRDefault="00D00199"/>
    <w:p w14:paraId="4FCC1920" w14:textId="35D5D462" w:rsidR="0022689F" w:rsidRDefault="0022689F">
      <w:pPr>
        <w:rPr>
          <w:b/>
          <w:bCs/>
          <w:color w:val="000000"/>
          <w:sz w:val="20"/>
          <w:szCs w:val="20"/>
          <w:lang w:eastAsia="fr-FR"/>
        </w:rPr>
      </w:pPr>
    </w:p>
    <w:sectPr w:rsidR="0022689F" w:rsidSect="00BB69A7">
      <w:headerReference w:type="default" r:id="rId40"/>
      <w:footerReference w:type="default" r:id="rId4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8A2B1" w14:textId="77777777" w:rsidR="009D7F45" w:rsidRDefault="009D7F45" w:rsidP="00C670C9">
      <w:r>
        <w:separator/>
      </w:r>
    </w:p>
  </w:endnote>
  <w:endnote w:type="continuationSeparator" w:id="0">
    <w:p w14:paraId="3D8D340F" w14:textId="77777777" w:rsidR="009D7F45" w:rsidRDefault="009D7F45"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libri"/>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gotham b">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18D1" w14:textId="40987DE8" w:rsidR="007D2817" w:rsidRDefault="007D2817"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2020</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D44B38">
      <w:rPr>
        <w:noProof/>
      </w:rPr>
      <w:t>1</w:t>
    </w:r>
    <w:r w:rsidRPr="0018486A">
      <w:rPr>
        <w:b w:val="0"/>
      </w:rPr>
      <w:fldChar w:fldCharType="end"/>
    </w:r>
    <w:r w:rsidRPr="0018486A">
      <w:t xml:space="preserve"> of </w:t>
    </w:r>
    <w:r w:rsidR="009D7F45">
      <w:fldChar w:fldCharType="begin"/>
    </w:r>
    <w:r w:rsidR="009D7F45">
      <w:instrText xml:space="preserve"> NUMPAGES </w:instrText>
    </w:r>
    <w:r w:rsidR="009D7F45">
      <w:fldChar w:fldCharType="separate"/>
    </w:r>
    <w:r w:rsidR="00D44B38">
      <w:rPr>
        <w:noProof/>
      </w:rPr>
      <w:t>10</w:t>
    </w:r>
    <w:r w:rsidR="009D7F45">
      <w:rPr>
        <w:noProof/>
      </w:rPr>
      <w:fldChar w:fldCharType="end"/>
    </w:r>
    <w:r>
      <w:tab/>
    </w:r>
    <w:r w:rsidRPr="0018486A">
      <w:rPr>
        <w:sz w:val="18"/>
        <w:szCs w:val="18"/>
      </w:rPr>
      <w:t xml:space="preserve"> </w:t>
    </w:r>
    <w:r>
      <w:rPr>
        <w:sz w:val="18"/>
        <w:szCs w:val="18"/>
      </w:rPr>
      <w:t>MonumentMembers.com</w:t>
    </w:r>
  </w:p>
  <w:p w14:paraId="05FBCF77" w14:textId="77777777" w:rsidR="007D2817" w:rsidRDefault="007D2817"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7D2817" w:rsidRPr="00303BC4" w:rsidRDefault="007D2817"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02DD3" w14:textId="77777777" w:rsidR="009D7F45" w:rsidRDefault="009D7F45" w:rsidP="00C670C9">
      <w:r>
        <w:separator/>
      </w:r>
    </w:p>
  </w:footnote>
  <w:footnote w:type="continuationSeparator" w:id="0">
    <w:p w14:paraId="52340C45" w14:textId="77777777" w:rsidR="009D7F45" w:rsidRDefault="009D7F45"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69F1C" w14:textId="57DEDC90" w:rsidR="007D2817" w:rsidRDefault="007D2817" w:rsidP="00BB69A7">
    <w:pPr>
      <w:pStyle w:val="Footer"/>
    </w:pPr>
    <w:r>
      <w:t xml:space="preserve">Negative:  </w:t>
    </w:r>
    <w:r w:rsidR="008908D6">
      <w:t>FERC Salaries – not a problem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422D"/>
    <w:multiLevelType w:val="multilevel"/>
    <w:tmpl w:val="063EE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num>
  <w:num w:numId="2">
    <w:abstractNumId w:val="3"/>
  </w:num>
  <w:num w:numId="3">
    <w:abstractNumId w:val="1"/>
  </w:num>
  <w:num w:numId="4">
    <w:abstractNumId w:val="2"/>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D6"/>
    <w:rsid w:val="00001D4C"/>
    <w:rsid w:val="00003A33"/>
    <w:rsid w:val="00010021"/>
    <w:rsid w:val="00011038"/>
    <w:rsid w:val="00036FC5"/>
    <w:rsid w:val="00062E50"/>
    <w:rsid w:val="0006406F"/>
    <w:rsid w:val="00067786"/>
    <w:rsid w:val="0007345C"/>
    <w:rsid w:val="0008568F"/>
    <w:rsid w:val="0009482E"/>
    <w:rsid w:val="00095DEB"/>
    <w:rsid w:val="000C26AF"/>
    <w:rsid w:val="000C3E99"/>
    <w:rsid w:val="000E5E14"/>
    <w:rsid w:val="000F296F"/>
    <w:rsid w:val="001029D3"/>
    <w:rsid w:val="00104299"/>
    <w:rsid w:val="00115876"/>
    <w:rsid w:val="00127676"/>
    <w:rsid w:val="001363FD"/>
    <w:rsid w:val="0015277B"/>
    <w:rsid w:val="00156DEE"/>
    <w:rsid w:val="001605E9"/>
    <w:rsid w:val="00186FA9"/>
    <w:rsid w:val="001B0BB6"/>
    <w:rsid w:val="001C2BAE"/>
    <w:rsid w:val="001E36AD"/>
    <w:rsid w:val="00211A3E"/>
    <w:rsid w:val="00214AAD"/>
    <w:rsid w:val="0022689F"/>
    <w:rsid w:val="00231E15"/>
    <w:rsid w:val="00236CF8"/>
    <w:rsid w:val="002478F7"/>
    <w:rsid w:val="0027175B"/>
    <w:rsid w:val="00284CD6"/>
    <w:rsid w:val="00286FEF"/>
    <w:rsid w:val="0029232D"/>
    <w:rsid w:val="002939B4"/>
    <w:rsid w:val="002977FB"/>
    <w:rsid w:val="002A3E41"/>
    <w:rsid w:val="002B18F8"/>
    <w:rsid w:val="002B308E"/>
    <w:rsid w:val="002C00AC"/>
    <w:rsid w:val="002D3600"/>
    <w:rsid w:val="002D5CC8"/>
    <w:rsid w:val="00310F7C"/>
    <w:rsid w:val="003201DF"/>
    <w:rsid w:val="003219CE"/>
    <w:rsid w:val="00343C20"/>
    <w:rsid w:val="003662BE"/>
    <w:rsid w:val="0037236D"/>
    <w:rsid w:val="0037302B"/>
    <w:rsid w:val="00386E4B"/>
    <w:rsid w:val="00393C3D"/>
    <w:rsid w:val="00395405"/>
    <w:rsid w:val="003A5DF7"/>
    <w:rsid w:val="003C5A8E"/>
    <w:rsid w:val="003D350E"/>
    <w:rsid w:val="003D5AC6"/>
    <w:rsid w:val="003E2F84"/>
    <w:rsid w:val="0040602F"/>
    <w:rsid w:val="00431C99"/>
    <w:rsid w:val="004354A2"/>
    <w:rsid w:val="004374C5"/>
    <w:rsid w:val="00440897"/>
    <w:rsid w:val="00457986"/>
    <w:rsid w:val="00467036"/>
    <w:rsid w:val="00485CB5"/>
    <w:rsid w:val="004862FB"/>
    <w:rsid w:val="00494445"/>
    <w:rsid w:val="004A3430"/>
    <w:rsid w:val="004B1552"/>
    <w:rsid w:val="004B1A8D"/>
    <w:rsid w:val="004D46AF"/>
    <w:rsid w:val="004E2075"/>
    <w:rsid w:val="004F17ED"/>
    <w:rsid w:val="0051066C"/>
    <w:rsid w:val="00521BE9"/>
    <w:rsid w:val="00544D33"/>
    <w:rsid w:val="00550CCC"/>
    <w:rsid w:val="00561A3C"/>
    <w:rsid w:val="0056569A"/>
    <w:rsid w:val="00565FE5"/>
    <w:rsid w:val="0057449A"/>
    <w:rsid w:val="005771EB"/>
    <w:rsid w:val="00586FA6"/>
    <w:rsid w:val="005905BF"/>
    <w:rsid w:val="00594719"/>
    <w:rsid w:val="005B3420"/>
    <w:rsid w:val="005C04F2"/>
    <w:rsid w:val="005C2515"/>
    <w:rsid w:val="005C2B27"/>
    <w:rsid w:val="005D365E"/>
    <w:rsid w:val="005D60D7"/>
    <w:rsid w:val="005D69B3"/>
    <w:rsid w:val="005E3582"/>
    <w:rsid w:val="005F0F59"/>
    <w:rsid w:val="00613DC3"/>
    <w:rsid w:val="00614304"/>
    <w:rsid w:val="006167B3"/>
    <w:rsid w:val="0062470F"/>
    <w:rsid w:val="0062676A"/>
    <w:rsid w:val="00637F25"/>
    <w:rsid w:val="00641CCC"/>
    <w:rsid w:val="00650654"/>
    <w:rsid w:val="00666D8B"/>
    <w:rsid w:val="0066792F"/>
    <w:rsid w:val="00692C70"/>
    <w:rsid w:val="006C10E2"/>
    <w:rsid w:val="006E28EC"/>
    <w:rsid w:val="006F204E"/>
    <w:rsid w:val="006F7044"/>
    <w:rsid w:val="00710F79"/>
    <w:rsid w:val="00716139"/>
    <w:rsid w:val="007230C4"/>
    <w:rsid w:val="007301F0"/>
    <w:rsid w:val="00732FD3"/>
    <w:rsid w:val="00735CB2"/>
    <w:rsid w:val="00742812"/>
    <w:rsid w:val="00743FAE"/>
    <w:rsid w:val="00772B68"/>
    <w:rsid w:val="00773A97"/>
    <w:rsid w:val="00773B02"/>
    <w:rsid w:val="00787212"/>
    <w:rsid w:val="007D2817"/>
    <w:rsid w:val="007D3D4D"/>
    <w:rsid w:val="007E0A95"/>
    <w:rsid w:val="007E59FF"/>
    <w:rsid w:val="00827FD5"/>
    <w:rsid w:val="008555D9"/>
    <w:rsid w:val="0086410B"/>
    <w:rsid w:val="008908D6"/>
    <w:rsid w:val="008938F5"/>
    <w:rsid w:val="008B61E3"/>
    <w:rsid w:val="008C190A"/>
    <w:rsid w:val="008C1D64"/>
    <w:rsid w:val="008C308E"/>
    <w:rsid w:val="008F28BF"/>
    <w:rsid w:val="008F4E8B"/>
    <w:rsid w:val="00922539"/>
    <w:rsid w:val="00931018"/>
    <w:rsid w:val="00942BFE"/>
    <w:rsid w:val="0095705D"/>
    <w:rsid w:val="00961057"/>
    <w:rsid w:val="00965C78"/>
    <w:rsid w:val="009B2AAB"/>
    <w:rsid w:val="009D7F45"/>
    <w:rsid w:val="00A13392"/>
    <w:rsid w:val="00A20AE9"/>
    <w:rsid w:val="00A24BDA"/>
    <w:rsid w:val="00A27414"/>
    <w:rsid w:val="00A53647"/>
    <w:rsid w:val="00A728EF"/>
    <w:rsid w:val="00A908F6"/>
    <w:rsid w:val="00A911EA"/>
    <w:rsid w:val="00AC0D28"/>
    <w:rsid w:val="00AC508B"/>
    <w:rsid w:val="00AE2FE1"/>
    <w:rsid w:val="00AF144A"/>
    <w:rsid w:val="00B64085"/>
    <w:rsid w:val="00BA7FF5"/>
    <w:rsid w:val="00BB0E97"/>
    <w:rsid w:val="00BB1655"/>
    <w:rsid w:val="00BB2F58"/>
    <w:rsid w:val="00BB69A7"/>
    <w:rsid w:val="00BC4319"/>
    <w:rsid w:val="00BD238B"/>
    <w:rsid w:val="00BE154F"/>
    <w:rsid w:val="00BF7C11"/>
    <w:rsid w:val="00C069E6"/>
    <w:rsid w:val="00C179DC"/>
    <w:rsid w:val="00C40A20"/>
    <w:rsid w:val="00C670C9"/>
    <w:rsid w:val="00C80331"/>
    <w:rsid w:val="00C85A69"/>
    <w:rsid w:val="00C96787"/>
    <w:rsid w:val="00CB1551"/>
    <w:rsid w:val="00CB2C4C"/>
    <w:rsid w:val="00CB6081"/>
    <w:rsid w:val="00CC462B"/>
    <w:rsid w:val="00CD2C02"/>
    <w:rsid w:val="00CD48AA"/>
    <w:rsid w:val="00CE0378"/>
    <w:rsid w:val="00CE1D51"/>
    <w:rsid w:val="00CE5870"/>
    <w:rsid w:val="00CE6593"/>
    <w:rsid w:val="00D00199"/>
    <w:rsid w:val="00D227A3"/>
    <w:rsid w:val="00D44B38"/>
    <w:rsid w:val="00D55A8E"/>
    <w:rsid w:val="00D74AC6"/>
    <w:rsid w:val="00D76F87"/>
    <w:rsid w:val="00D960EC"/>
    <w:rsid w:val="00DA6CBD"/>
    <w:rsid w:val="00DB65A5"/>
    <w:rsid w:val="00DC463F"/>
    <w:rsid w:val="00DF1D28"/>
    <w:rsid w:val="00E05270"/>
    <w:rsid w:val="00E072BB"/>
    <w:rsid w:val="00E25C8F"/>
    <w:rsid w:val="00E3173C"/>
    <w:rsid w:val="00E56F12"/>
    <w:rsid w:val="00E602C6"/>
    <w:rsid w:val="00E762E2"/>
    <w:rsid w:val="00E85C39"/>
    <w:rsid w:val="00E862E7"/>
    <w:rsid w:val="00E9087C"/>
    <w:rsid w:val="00E94B2A"/>
    <w:rsid w:val="00EA0CD9"/>
    <w:rsid w:val="00EB3D53"/>
    <w:rsid w:val="00EF32CA"/>
    <w:rsid w:val="00EF3E39"/>
    <w:rsid w:val="00F03C2B"/>
    <w:rsid w:val="00F15868"/>
    <w:rsid w:val="00F3304D"/>
    <w:rsid w:val="00F52999"/>
    <w:rsid w:val="00F65686"/>
    <w:rsid w:val="00F673EF"/>
    <w:rsid w:val="00F729F6"/>
    <w:rsid w:val="00F80C5C"/>
    <w:rsid w:val="00F93585"/>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1"/>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4"/>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3"/>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
    <w:name w:val="Unresolved Mention"/>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paragraph" w:customStyle="1" w:styleId="component-root-0-2-34">
    <w:name w:val="component-root-0-2-34"/>
    <w:basedOn w:val="Normal"/>
    <w:rsid w:val="008C308E"/>
    <w:pPr>
      <w:spacing w:before="100" w:beforeAutospacing="1" w:after="100" w:afterAutospacing="1"/>
    </w:pPr>
  </w:style>
  <w:style w:type="paragraph" w:customStyle="1" w:styleId="speakable-p-1">
    <w:name w:val="speakable-p-1"/>
    <w:basedOn w:val="Normal"/>
    <w:rsid w:val="008F28BF"/>
    <w:pPr>
      <w:spacing w:before="100" w:beforeAutospacing="1" w:after="100" w:afterAutospacing="1"/>
    </w:pPr>
  </w:style>
  <w:style w:type="paragraph" w:customStyle="1" w:styleId="p4">
    <w:name w:val="p4"/>
    <w:basedOn w:val="Normal"/>
    <w:rsid w:val="00010021"/>
    <w:pPr>
      <w:spacing w:before="100" w:beforeAutospacing="1" w:after="100" w:afterAutospacing="1"/>
    </w:pPr>
  </w:style>
  <w:style w:type="character" w:customStyle="1" w:styleId="s1">
    <w:name w:val="s1"/>
    <w:basedOn w:val="DefaultParagraphFont"/>
    <w:rsid w:val="00010021"/>
  </w:style>
  <w:style w:type="character" w:customStyle="1" w:styleId="s2">
    <w:name w:val="s2"/>
    <w:basedOn w:val="DefaultParagraphFont"/>
    <w:rsid w:val="00010021"/>
  </w:style>
  <w:style w:type="character" w:customStyle="1" w:styleId="s5">
    <w:name w:val="s5"/>
    <w:basedOn w:val="DefaultParagraphFont"/>
    <w:rsid w:val="00010021"/>
  </w:style>
  <w:style w:type="character" w:customStyle="1" w:styleId="annotationhighlight">
    <w:name w:val="annotation__highlight"/>
    <w:basedOn w:val="DefaultParagraphFont"/>
    <w:rsid w:val="008938F5"/>
  </w:style>
  <w:style w:type="character" w:customStyle="1" w:styleId="annotation-link">
    <w:name w:val="annotation-link"/>
    <w:basedOn w:val="DefaultParagraphFont"/>
    <w:rsid w:val="008938F5"/>
  </w:style>
  <w:style w:type="character" w:customStyle="1" w:styleId="xn-money">
    <w:name w:val="xn-money"/>
    <w:basedOn w:val="DefaultParagraphFont"/>
    <w:rsid w:val="000C3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81492326">
      <w:bodyDiv w:val="1"/>
      <w:marLeft w:val="0"/>
      <w:marRight w:val="0"/>
      <w:marTop w:val="0"/>
      <w:marBottom w:val="0"/>
      <w:divBdr>
        <w:top w:val="none" w:sz="0" w:space="0" w:color="auto"/>
        <w:left w:val="none" w:sz="0" w:space="0" w:color="auto"/>
        <w:bottom w:val="none" w:sz="0" w:space="0" w:color="auto"/>
        <w:right w:val="none" w:sz="0" w:space="0" w:color="auto"/>
      </w:divBdr>
    </w:div>
    <w:div w:id="82454804">
      <w:bodyDiv w:val="1"/>
      <w:marLeft w:val="0"/>
      <w:marRight w:val="0"/>
      <w:marTop w:val="0"/>
      <w:marBottom w:val="0"/>
      <w:divBdr>
        <w:top w:val="none" w:sz="0" w:space="0" w:color="auto"/>
        <w:left w:val="none" w:sz="0" w:space="0" w:color="auto"/>
        <w:bottom w:val="none" w:sz="0" w:space="0" w:color="auto"/>
        <w:right w:val="none" w:sz="0" w:space="0" w:color="auto"/>
      </w:divBdr>
    </w:div>
    <w:div w:id="93745472">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6047286">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13906101">
      <w:bodyDiv w:val="1"/>
      <w:marLeft w:val="0"/>
      <w:marRight w:val="0"/>
      <w:marTop w:val="0"/>
      <w:marBottom w:val="0"/>
      <w:divBdr>
        <w:top w:val="none" w:sz="0" w:space="0" w:color="auto"/>
        <w:left w:val="none" w:sz="0" w:space="0" w:color="auto"/>
        <w:bottom w:val="none" w:sz="0" w:space="0" w:color="auto"/>
        <w:right w:val="none" w:sz="0" w:space="0" w:color="auto"/>
      </w:divBdr>
    </w:div>
    <w:div w:id="115606187">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4565877">
      <w:bodyDiv w:val="1"/>
      <w:marLeft w:val="0"/>
      <w:marRight w:val="0"/>
      <w:marTop w:val="0"/>
      <w:marBottom w:val="0"/>
      <w:divBdr>
        <w:top w:val="none" w:sz="0" w:space="0" w:color="auto"/>
        <w:left w:val="none" w:sz="0" w:space="0" w:color="auto"/>
        <w:bottom w:val="none" w:sz="0" w:space="0" w:color="auto"/>
        <w:right w:val="none" w:sz="0" w:space="0" w:color="auto"/>
      </w:divBdr>
      <w:divsChild>
        <w:div w:id="611130644">
          <w:marLeft w:val="0"/>
          <w:marRight w:val="0"/>
          <w:marTop w:val="0"/>
          <w:marBottom w:val="0"/>
          <w:divBdr>
            <w:top w:val="single" w:sz="12" w:space="0" w:color="C5D1D8"/>
            <w:left w:val="single" w:sz="12" w:space="0" w:color="C5D1D8"/>
            <w:bottom w:val="single" w:sz="12" w:space="0" w:color="C5D1D8"/>
            <w:right w:val="single" w:sz="12" w:space="0" w:color="C5D1D8"/>
          </w:divBdr>
          <w:divsChild>
            <w:div w:id="7081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43472953">
      <w:bodyDiv w:val="1"/>
      <w:marLeft w:val="0"/>
      <w:marRight w:val="0"/>
      <w:marTop w:val="0"/>
      <w:marBottom w:val="0"/>
      <w:divBdr>
        <w:top w:val="none" w:sz="0" w:space="0" w:color="auto"/>
        <w:left w:val="none" w:sz="0" w:space="0" w:color="auto"/>
        <w:bottom w:val="none" w:sz="0" w:space="0" w:color="auto"/>
        <w:right w:val="none" w:sz="0" w:space="0" w:color="auto"/>
      </w:divBdr>
    </w:div>
    <w:div w:id="158276955">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36988072">
      <w:bodyDiv w:val="1"/>
      <w:marLeft w:val="0"/>
      <w:marRight w:val="0"/>
      <w:marTop w:val="0"/>
      <w:marBottom w:val="0"/>
      <w:divBdr>
        <w:top w:val="none" w:sz="0" w:space="0" w:color="auto"/>
        <w:left w:val="none" w:sz="0" w:space="0" w:color="auto"/>
        <w:bottom w:val="none" w:sz="0" w:space="0" w:color="auto"/>
        <w:right w:val="none" w:sz="0" w:space="0" w:color="auto"/>
      </w:divBdr>
    </w:div>
    <w:div w:id="249899829">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295573257">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33608035">
      <w:bodyDiv w:val="1"/>
      <w:marLeft w:val="0"/>
      <w:marRight w:val="0"/>
      <w:marTop w:val="0"/>
      <w:marBottom w:val="0"/>
      <w:divBdr>
        <w:top w:val="none" w:sz="0" w:space="0" w:color="auto"/>
        <w:left w:val="none" w:sz="0" w:space="0" w:color="auto"/>
        <w:bottom w:val="none" w:sz="0" w:space="0" w:color="auto"/>
        <w:right w:val="none" w:sz="0" w:space="0" w:color="auto"/>
      </w:divBdr>
    </w:div>
    <w:div w:id="341669559">
      <w:bodyDiv w:val="1"/>
      <w:marLeft w:val="0"/>
      <w:marRight w:val="0"/>
      <w:marTop w:val="0"/>
      <w:marBottom w:val="0"/>
      <w:divBdr>
        <w:top w:val="none" w:sz="0" w:space="0" w:color="auto"/>
        <w:left w:val="none" w:sz="0" w:space="0" w:color="auto"/>
        <w:bottom w:val="none" w:sz="0" w:space="0" w:color="auto"/>
        <w:right w:val="none" w:sz="0" w:space="0" w:color="auto"/>
      </w:divBdr>
      <w:divsChild>
        <w:div w:id="1719091430">
          <w:marLeft w:val="0"/>
          <w:marRight w:val="0"/>
          <w:marTop w:val="0"/>
          <w:marBottom w:val="0"/>
          <w:divBdr>
            <w:top w:val="none" w:sz="0" w:space="0" w:color="auto"/>
            <w:left w:val="none" w:sz="0" w:space="0" w:color="auto"/>
            <w:bottom w:val="none" w:sz="0" w:space="0" w:color="auto"/>
            <w:right w:val="none" w:sz="0" w:space="0" w:color="auto"/>
          </w:divBdr>
        </w:div>
      </w:divsChild>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46100726">
      <w:bodyDiv w:val="1"/>
      <w:marLeft w:val="0"/>
      <w:marRight w:val="0"/>
      <w:marTop w:val="0"/>
      <w:marBottom w:val="0"/>
      <w:divBdr>
        <w:top w:val="none" w:sz="0" w:space="0" w:color="auto"/>
        <w:left w:val="none" w:sz="0" w:space="0" w:color="auto"/>
        <w:bottom w:val="none" w:sz="0" w:space="0" w:color="auto"/>
        <w:right w:val="none" w:sz="0" w:space="0" w:color="auto"/>
      </w:divBdr>
    </w:div>
    <w:div w:id="383337113">
      <w:bodyDiv w:val="1"/>
      <w:marLeft w:val="0"/>
      <w:marRight w:val="0"/>
      <w:marTop w:val="0"/>
      <w:marBottom w:val="0"/>
      <w:divBdr>
        <w:top w:val="none" w:sz="0" w:space="0" w:color="auto"/>
        <w:left w:val="none" w:sz="0" w:space="0" w:color="auto"/>
        <w:bottom w:val="none" w:sz="0" w:space="0" w:color="auto"/>
        <w:right w:val="none" w:sz="0" w:space="0" w:color="auto"/>
      </w:divBdr>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12513984">
      <w:bodyDiv w:val="1"/>
      <w:marLeft w:val="0"/>
      <w:marRight w:val="0"/>
      <w:marTop w:val="0"/>
      <w:marBottom w:val="0"/>
      <w:divBdr>
        <w:top w:val="none" w:sz="0" w:space="0" w:color="auto"/>
        <w:left w:val="none" w:sz="0" w:space="0" w:color="auto"/>
        <w:bottom w:val="none" w:sz="0" w:space="0" w:color="auto"/>
        <w:right w:val="none" w:sz="0" w:space="0" w:color="auto"/>
      </w:divBdr>
    </w:div>
    <w:div w:id="424350588">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46462349">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455219815">
      <w:bodyDiv w:val="1"/>
      <w:marLeft w:val="0"/>
      <w:marRight w:val="0"/>
      <w:marTop w:val="0"/>
      <w:marBottom w:val="0"/>
      <w:divBdr>
        <w:top w:val="none" w:sz="0" w:space="0" w:color="auto"/>
        <w:left w:val="none" w:sz="0" w:space="0" w:color="auto"/>
        <w:bottom w:val="none" w:sz="0" w:space="0" w:color="auto"/>
        <w:right w:val="none" w:sz="0" w:space="0" w:color="auto"/>
      </w:divBdr>
    </w:div>
    <w:div w:id="459224958">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5849205">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65918818">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48486896">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61396454">
      <w:bodyDiv w:val="1"/>
      <w:marLeft w:val="0"/>
      <w:marRight w:val="0"/>
      <w:marTop w:val="0"/>
      <w:marBottom w:val="0"/>
      <w:divBdr>
        <w:top w:val="none" w:sz="0" w:space="0" w:color="auto"/>
        <w:left w:val="none" w:sz="0" w:space="0" w:color="auto"/>
        <w:bottom w:val="none" w:sz="0" w:space="0" w:color="auto"/>
        <w:right w:val="none" w:sz="0" w:space="0" w:color="auto"/>
      </w:divBdr>
    </w:div>
    <w:div w:id="670379841">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674108895">
      <w:bodyDiv w:val="1"/>
      <w:marLeft w:val="0"/>
      <w:marRight w:val="0"/>
      <w:marTop w:val="0"/>
      <w:marBottom w:val="0"/>
      <w:divBdr>
        <w:top w:val="none" w:sz="0" w:space="0" w:color="auto"/>
        <w:left w:val="none" w:sz="0" w:space="0" w:color="auto"/>
        <w:bottom w:val="none" w:sz="0" w:space="0" w:color="auto"/>
        <w:right w:val="none" w:sz="0" w:space="0" w:color="auto"/>
      </w:divBdr>
    </w:div>
    <w:div w:id="675883333">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769011471">
      <w:bodyDiv w:val="1"/>
      <w:marLeft w:val="0"/>
      <w:marRight w:val="0"/>
      <w:marTop w:val="0"/>
      <w:marBottom w:val="0"/>
      <w:divBdr>
        <w:top w:val="none" w:sz="0" w:space="0" w:color="auto"/>
        <w:left w:val="none" w:sz="0" w:space="0" w:color="auto"/>
        <w:bottom w:val="none" w:sz="0" w:space="0" w:color="auto"/>
        <w:right w:val="none" w:sz="0" w:space="0" w:color="auto"/>
      </w:divBdr>
    </w:div>
    <w:div w:id="796871544">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2064148">
      <w:bodyDiv w:val="1"/>
      <w:marLeft w:val="0"/>
      <w:marRight w:val="0"/>
      <w:marTop w:val="0"/>
      <w:marBottom w:val="0"/>
      <w:divBdr>
        <w:top w:val="none" w:sz="0" w:space="0" w:color="auto"/>
        <w:left w:val="none" w:sz="0" w:space="0" w:color="auto"/>
        <w:bottom w:val="none" w:sz="0" w:space="0" w:color="auto"/>
        <w:right w:val="none" w:sz="0" w:space="0" w:color="auto"/>
      </w:divBdr>
      <w:divsChild>
        <w:div w:id="2048288042">
          <w:marLeft w:val="0"/>
          <w:marRight w:val="0"/>
          <w:marTop w:val="0"/>
          <w:marBottom w:val="0"/>
          <w:divBdr>
            <w:top w:val="single" w:sz="12" w:space="0" w:color="C5D1D8"/>
            <w:left w:val="single" w:sz="12" w:space="0" w:color="C5D1D8"/>
            <w:bottom w:val="single" w:sz="12" w:space="0" w:color="C5D1D8"/>
            <w:right w:val="single" w:sz="12" w:space="0" w:color="C5D1D8"/>
          </w:divBdr>
          <w:divsChild>
            <w:div w:id="1604846896">
              <w:marLeft w:val="0"/>
              <w:marRight w:val="0"/>
              <w:marTop w:val="0"/>
              <w:marBottom w:val="0"/>
              <w:divBdr>
                <w:top w:val="none" w:sz="0" w:space="0" w:color="auto"/>
                <w:left w:val="none" w:sz="0" w:space="0" w:color="auto"/>
                <w:bottom w:val="none" w:sz="0" w:space="0" w:color="auto"/>
                <w:right w:val="none" w:sz="0" w:space="0" w:color="auto"/>
              </w:divBdr>
            </w:div>
          </w:divsChild>
        </w:div>
        <w:div w:id="1852447937">
          <w:marLeft w:val="0"/>
          <w:marRight w:val="0"/>
          <w:marTop w:val="0"/>
          <w:marBottom w:val="0"/>
          <w:divBdr>
            <w:top w:val="single" w:sz="12" w:space="0" w:color="C5D1D8"/>
            <w:left w:val="single" w:sz="12" w:space="0" w:color="C5D1D8"/>
            <w:bottom w:val="single" w:sz="12" w:space="0" w:color="C5D1D8"/>
            <w:right w:val="single" w:sz="12" w:space="0" w:color="C5D1D8"/>
          </w:divBdr>
          <w:divsChild>
            <w:div w:id="7600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sChild>
        <w:div w:id="1284457289">
          <w:marLeft w:val="0"/>
          <w:marRight w:val="0"/>
          <w:marTop w:val="0"/>
          <w:marBottom w:val="0"/>
          <w:divBdr>
            <w:top w:val="none" w:sz="0" w:space="0" w:color="auto"/>
            <w:left w:val="none" w:sz="0" w:space="0" w:color="auto"/>
            <w:bottom w:val="none" w:sz="0" w:space="0" w:color="auto"/>
            <w:right w:val="none" w:sz="0" w:space="0" w:color="auto"/>
          </w:divBdr>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21916515">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170043">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08755990">
      <w:bodyDiv w:val="1"/>
      <w:marLeft w:val="0"/>
      <w:marRight w:val="0"/>
      <w:marTop w:val="0"/>
      <w:marBottom w:val="0"/>
      <w:divBdr>
        <w:top w:val="none" w:sz="0" w:space="0" w:color="auto"/>
        <w:left w:val="none" w:sz="0" w:space="0" w:color="auto"/>
        <w:bottom w:val="none" w:sz="0" w:space="0" w:color="auto"/>
        <w:right w:val="none" w:sz="0" w:space="0" w:color="auto"/>
      </w:divBdr>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1045454">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27238488">
      <w:bodyDiv w:val="1"/>
      <w:marLeft w:val="0"/>
      <w:marRight w:val="0"/>
      <w:marTop w:val="0"/>
      <w:marBottom w:val="0"/>
      <w:divBdr>
        <w:top w:val="none" w:sz="0" w:space="0" w:color="auto"/>
        <w:left w:val="none" w:sz="0" w:space="0" w:color="auto"/>
        <w:bottom w:val="none" w:sz="0" w:space="0" w:color="auto"/>
        <w:right w:val="none" w:sz="0" w:space="0" w:color="auto"/>
      </w:divBdr>
    </w:div>
    <w:div w:id="1128278502">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57693981">
      <w:bodyDiv w:val="1"/>
      <w:marLeft w:val="0"/>
      <w:marRight w:val="0"/>
      <w:marTop w:val="0"/>
      <w:marBottom w:val="0"/>
      <w:divBdr>
        <w:top w:val="none" w:sz="0" w:space="0" w:color="auto"/>
        <w:left w:val="none" w:sz="0" w:space="0" w:color="auto"/>
        <w:bottom w:val="none" w:sz="0" w:space="0" w:color="auto"/>
        <w:right w:val="none" w:sz="0" w:space="0" w:color="auto"/>
      </w:divBdr>
    </w:div>
    <w:div w:id="1168447778">
      <w:bodyDiv w:val="1"/>
      <w:marLeft w:val="0"/>
      <w:marRight w:val="0"/>
      <w:marTop w:val="0"/>
      <w:marBottom w:val="0"/>
      <w:divBdr>
        <w:top w:val="none" w:sz="0" w:space="0" w:color="auto"/>
        <w:left w:val="none" w:sz="0" w:space="0" w:color="auto"/>
        <w:bottom w:val="none" w:sz="0" w:space="0" w:color="auto"/>
        <w:right w:val="none" w:sz="0" w:space="0" w:color="auto"/>
      </w:divBdr>
    </w:div>
    <w:div w:id="1173884111">
      <w:bodyDiv w:val="1"/>
      <w:marLeft w:val="0"/>
      <w:marRight w:val="0"/>
      <w:marTop w:val="0"/>
      <w:marBottom w:val="0"/>
      <w:divBdr>
        <w:top w:val="none" w:sz="0" w:space="0" w:color="auto"/>
        <w:left w:val="none" w:sz="0" w:space="0" w:color="auto"/>
        <w:bottom w:val="none" w:sz="0" w:space="0" w:color="auto"/>
        <w:right w:val="none" w:sz="0" w:space="0" w:color="auto"/>
      </w:divBdr>
    </w:div>
    <w:div w:id="1180118013">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195578729">
      <w:bodyDiv w:val="1"/>
      <w:marLeft w:val="0"/>
      <w:marRight w:val="0"/>
      <w:marTop w:val="0"/>
      <w:marBottom w:val="0"/>
      <w:divBdr>
        <w:top w:val="none" w:sz="0" w:space="0" w:color="auto"/>
        <w:left w:val="none" w:sz="0" w:space="0" w:color="auto"/>
        <w:bottom w:val="none" w:sz="0" w:space="0" w:color="auto"/>
        <w:right w:val="none" w:sz="0" w:space="0" w:color="auto"/>
      </w:divBdr>
    </w:div>
    <w:div w:id="1212616702">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66645236">
      <w:bodyDiv w:val="1"/>
      <w:marLeft w:val="0"/>
      <w:marRight w:val="0"/>
      <w:marTop w:val="0"/>
      <w:marBottom w:val="0"/>
      <w:divBdr>
        <w:top w:val="none" w:sz="0" w:space="0" w:color="auto"/>
        <w:left w:val="none" w:sz="0" w:space="0" w:color="auto"/>
        <w:bottom w:val="none" w:sz="0" w:space="0" w:color="auto"/>
        <w:right w:val="none" w:sz="0" w:space="0" w:color="auto"/>
      </w:divBdr>
      <w:divsChild>
        <w:div w:id="793718032">
          <w:marLeft w:val="0"/>
          <w:marRight w:val="0"/>
          <w:marTop w:val="0"/>
          <w:marBottom w:val="0"/>
          <w:divBdr>
            <w:top w:val="none" w:sz="0" w:space="0" w:color="auto"/>
            <w:left w:val="none" w:sz="0" w:space="0" w:color="auto"/>
            <w:bottom w:val="none" w:sz="0" w:space="0" w:color="auto"/>
            <w:right w:val="none" w:sz="0" w:space="0" w:color="auto"/>
          </w:divBdr>
        </w:div>
        <w:div w:id="1610434767">
          <w:marLeft w:val="0"/>
          <w:marRight w:val="0"/>
          <w:marTop w:val="0"/>
          <w:marBottom w:val="0"/>
          <w:divBdr>
            <w:top w:val="none" w:sz="0" w:space="0" w:color="auto"/>
            <w:left w:val="none" w:sz="0" w:space="0" w:color="auto"/>
            <w:bottom w:val="none" w:sz="0" w:space="0" w:color="auto"/>
            <w:right w:val="none" w:sz="0" w:space="0" w:color="auto"/>
          </w:divBdr>
        </w:div>
      </w:divsChild>
    </w:div>
    <w:div w:id="1274553160">
      <w:bodyDiv w:val="1"/>
      <w:marLeft w:val="0"/>
      <w:marRight w:val="0"/>
      <w:marTop w:val="0"/>
      <w:marBottom w:val="0"/>
      <w:divBdr>
        <w:top w:val="none" w:sz="0" w:space="0" w:color="auto"/>
        <w:left w:val="none" w:sz="0" w:space="0" w:color="auto"/>
        <w:bottom w:val="none" w:sz="0" w:space="0" w:color="auto"/>
        <w:right w:val="none" w:sz="0" w:space="0" w:color="auto"/>
      </w:divBdr>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283224876">
      <w:bodyDiv w:val="1"/>
      <w:marLeft w:val="0"/>
      <w:marRight w:val="0"/>
      <w:marTop w:val="0"/>
      <w:marBottom w:val="0"/>
      <w:divBdr>
        <w:top w:val="none" w:sz="0" w:space="0" w:color="auto"/>
        <w:left w:val="none" w:sz="0" w:space="0" w:color="auto"/>
        <w:bottom w:val="none" w:sz="0" w:space="0" w:color="auto"/>
        <w:right w:val="none" w:sz="0" w:space="0" w:color="auto"/>
      </w:divBdr>
    </w:div>
    <w:div w:id="1285310715">
      <w:bodyDiv w:val="1"/>
      <w:marLeft w:val="0"/>
      <w:marRight w:val="0"/>
      <w:marTop w:val="0"/>
      <w:marBottom w:val="0"/>
      <w:divBdr>
        <w:top w:val="none" w:sz="0" w:space="0" w:color="auto"/>
        <w:left w:val="none" w:sz="0" w:space="0" w:color="auto"/>
        <w:bottom w:val="none" w:sz="0" w:space="0" w:color="auto"/>
        <w:right w:val="none" w:sz="0" w:space="0" w:color="auto"/>
      </w:divBdr>
      <w:divsChild>
        <w:div w:id="1472475435">
          <w:marLeft w:val="0"/>
          <w:marRight w:val="0"/>
          <w:marTop w:val="0"/>
          <w:marBottom w:val="0"/>
          <w:divBdr>
            <w:top w:val="none" w:sz="0" w:space="0" w:color="auto"/>
            <w:left w:val="none" w:sz="0" w:space="0" w:color="auto"/>
            <w:bottom w:val="none" w:sz="0" w:space="0" w:color="auto"/>
            <w:right w:val="none" w:sz="0" w:space="0" w:color="auto"/>
          </w:divBdr>
        </w:div>
        <w:div w:id="1498108028">
          <w:marLeft w:val="0"/>
          <w:marRight w:val="0"/>
          <w:marTop w:val="0"/>
          <w:marBottom w:val="0"/>
          <w:divBdr>
            <w:top w:val="none" w:sz="0" w:space="0" w:color="auto"/>
            <w:left w:val="none" w:sz="0" w:space="0" w:color="auto"/>
            <w:bottom w:val="none" w:sz="0" w:space="0" w:color="auto"/>
            <w:right w:val="none" w:sz="0" w:space="0" w:color="auto"/>
          </w:divBdr>
        </w:div>
      </w:divsChild>
    </w:div>
    <w:div w:id="1312099894">
      <w:bodyDiv w:val="1"/>
      <w:marLeft w:val="0"/>
      <w:marRight w:val="0"/>
      <w:marTop w:val="0"/>
      <w:marBottom w:val="0"/>
      <w:divBdr>
        <w:top w:val="none" w:sz="0" w:space="0" w:color="auto"/>
        <w:left w:val="none" w:sz="0" w:space="0" w:color="auto"/>
        <w:bottom w:val="none" w:sz="0" w:space="0" w:color="auto"/>
        <w:right w:val="none" w:sz="0" w:space="0" w:color="auto"/>
      </w:divBdr>
    </w:div>
    <w:div w:id="1325746369">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8348">
      <w:bodyDiv w:val="1"/>
      <w:marLeft w:val="0"/>
      <w:marRight w:val="0"/>
      <w:marTop w:val="0"/>
      <w:marBottom w:val="0"/>
      <w:divBdr>
        <w:top w:val="none" w:sz="0" w:space="0" w:color="auto"/>
        <w:left w:val="none" w:sz="0" w:space="0" w:color="auto"/>
        <w:bottom w:val="none" w:sz="0" w:space="0" w:color="auto"/>
        <w:right w:val="none" w:sz="0" w:space="0" w:color="auto"/>
      </w:divBdr>
      <w:divsChild>
        <w:div w:id="1786730754">
          <w:marLeft w:val="0"/>
          <w:marRight w:val="0"/>
          <w:marTop w:val="0"/>
          <w:marBottom w:val="0"/>
          <w:divBdr>
            <w:top w:val="none" w:sz="0" w:space="0" w:color="auto"/>
            <w:left w:val="none" w:sz="0" w:space="0" w:color="auto"/>
            <w:bottom w:val="none" w:sz="0" w:space="0" w:color="auto"/>
            <w:right w:val="none" w:sz="0" w:space="0" w:color="auto"/>
          </w:divBdr>
          <w:divsChild>
            <w:div w:id="1527523864">
              <w:marLeft w:val="1050"/>
              <w:marRight w:val="0"/>
              <w:marTop w:val="150"/>
              <w:marBottom w:val="300"/>
              <w:divBdr>
                <w:top w:val="single" w:sz="6" w:space="0" w:color="E6E6E6"/>
                <w:left w:val="single" w:sz="6" w:space="0" w:color="E6E6E6"/>
                <w:bottom w:val="single" w:sz="6" w:space="0" w:color="E6E6E6"/>
                <w:right w:val="single" w:sz="6" w:space="0" w:color="E6E6E6"/>
              </w:divBdr>
              <w:divsChild>
                <w:div w:id="1056582812">
                  <w:marLeft w:val="0"/>
                  <w:marRight w:val="0"/>
                  <w:marTop w:val="0"/>
                  <w:marBottom w:val="0"/>
                  <w:divBdr>
                    <w:top w:val="none" w:sz="0" w:space="0" w:color="auto"/>
                    <w:left w:val="none" w:sz="0" w:space="0" w:color="auto"/>
                    <w:bottom w:val="none" w:sz="0" w:space="0" w:color="auto"/>
                    <w:right w:val="single" w:sz="6" w:space="0" w:color="E6E6E6"/>
                  </w:divBdr>
                  <w:divsChild>
                    <w:div w:id="1975214641">
                      <w:marLeft w:val="0"/>
                      <w:marRight w:val="0"/>
                      <w:marTop w:val="0"/>
                      <w:marBottom w:val="930"/>
                      <w:divBdr>
                        <w:top w:val="none" w:sz="0" w:space="0" w:color="auto"/>
                        <w:left w:val="none" w:sz="0" w:space="0" w:color="auto"/>
                        <w:bottom w:val="none" w:sz="0" w:space="0" w:color="auto"/>
                        <w:right w:val="none" w:sz="0" w:space="0" w:color="auto"/>
                      </w:divBdr>
                    </w:div>
                    <w:div w:id="1174609073">
                      <w:marLeft w:val="0"/>
                      <w:marRight w:val="0"/>
                      <w:marTop w:val="0"/>
                      <w:marBottom w:val="0"/>
                      <w:divBdr>
                        <w:top w:val="none" w:sz="0" w:space="0" w:color="auto"/>
                        <w:left w:val="none" w:sz="0" w:space="0" w:color="auto"/>
                        <w:bottom w:val="none" w:sz="0" w:space="0" w:color="auto"/>
                        <w:right w:val="none" w:sz="0" w:space="0" w:color="auto"/>
                      </w:divBdr>
                      <w:divsChild>
                        <w:div w:id="131757820">
                          <w:marLeft w:val="0"/>
                          <w:marRight w:val="0"/>
                          <w:marTop w:val="0"/>
                          <w:marBottom w:val="0"/>
                          <w:divBdr>
                            <w:top w:val="none" w:sz="0" w:space="0" w:color="auto"/>
                            <w:left w:val="none" w:sz="0" w:space="0" w:color="auto"/>
                            <w:bottom w:val="none" w:sz="0" w:space="0" w:color="auto"/>
                            <w:right w:val="none" w:sz="0" w:space="0" w:color="auto"/>
                          </w:divBdr>
                          <w:divsChild>
                            <w:div w:id="1104690745">
                              <w:marLeft w:val="0"/>
                              <w:marRight w:val="0"/>
                              <w:marTop w:val="0"/>
                              <w:marBottom w:val="0"/>
                              <w:divBdr>
                                <w:top w:val="single" w:sz="6" w:space="0" w:color="FFFFFF"/>
                                <w:left w:val="single" w:sz="6" w:space="0" w:color="FFFFFF"/>
                                <w:bottom w:val="single" w:sz="6" w:space="0" w:color="FFFFFF"/>
                                <w:right w:val="single" w:sz="6" w:space="0" w:color="FFFFFF"/>
                              </w:divBdr>
                            </w:div>
                            <w:div w:id="1067461596">
                              <w:marLeft w:val="0"/>
                              <w:marRight w:val="0"/>
                              <w:marTop w:val="0"/>
                              <w:marBottom w:val="0"/>
                              <w:divBdr>
                                <w:top w:val="single" w:sz="6" w:space="0" w:color="FFFFFF"/>
                                <w:left w:val="single" w:sz="6" w:space="0" w:color="FFFFFF"/>
                                <w:bottom w:val="single" w:sz="6" w:space="0" w:color="FFFFFF"/>
                                <w:right w:val="single" w:sz="6" w:space="0" w:color="FFFFFF"/>
                              </w:divBdr>
                            </w:div>
                            <w:div w:id="642740253">
                              <w:marLeft w:val="0"/>
                              <w:marRight w:val="0"/>
                              <w:marTop w:val="0"/>
                              <w:marBottom w:val="0"/>
                              <w:divBdr>
                                <w:top w:val="single" w:sz="6" w:space="0" w:color="FFFFFF"/>
                                <w:left w:val="single" w:sz="6" w:space="0" w:color="FFFFFF"/>
                                <w:bottom w:val="single" w:sz="6" w:space="0" w:color="FFFFFF"/>
                                <w:right w:val="single" w:sz="6" w:space="0" w:color="FFFFFF"/>
                              </w:divBdr>
                            </w:div>
                            <w:div w:id="1813282394">
                              <w:marLeft w:val="0"/>
                              <w:marRight w:val="0"/>
                              <w:marTop w:val="0"/>
                              <w:marBottom w:val="0"/>
                              <w:divBdr>
                                <w:top w:val="single" w:sz="6" w:space="0" w:color="FFFFFF"/>
                                <w:left w:val="single" w:sz="6" w:space="0" w:color="FFFFFF"/>
                                <w:bottom w:val="single" w:sz="6" w:space="0" w:color="FFFFFF"/>
                                <w:right w:val="single" w:sz="6" w:space="0" w:color="FFFFFF"/>
                              </w:divBdr>
                            </w:div>
                            <w:div w:id="363671662">
                              <w:marLeft w:val="0"/>
                              <w:marRight w:val="0"/>
                              <w:marTop w:val="0"/>
                              <w:marBottom w:val="0"/>
                              <w:divBdr>
                                <w:top w:val="single" w:sz="6" w:space="0" w:color="FFFFFF"/>
                                <w:left w:val="single" w:sz="6" w:space="0" w:color="FFFFFF"/>
                                <w:bottom w:val="single" w:sz="6" w:space="0" w:color="FFFFFF"/>
                                <w:right w:val="single" w:sz="6" w:space="0" w:color="FFFFFF"/>
                              </w:divBdr>
                            </w:div>
                            <w:div w:id="1436093197">
                              <w:marLeft w:val="0"/>
                              <w:marRight w:val="0"/>
                              <w:marTop w:val="0"/>
                              <w:marBottom w:val="0"/>
                              <w:divBdr>
                                <w:top w:val="single" w:sz="6" w:space="0" w:color="FFFFFF"/>
                                <w:left w:val="single" w:sz="6" w:space="0" w:color="FFFFFF"/>
                                <w:bottom w:val="single" w:sz="6" w:space="0" w:color="FFFFFF"/>
                                <w:right w:val="single" w:sz="6" w:space="0" w:color="FFFFFF"/>
                              </w:divBdr>
                            </w:div>
                            <w:div w:id="1154028299">
                              <w:marLeft w:val="0"/>
                              <w:marRight w:val="0"/>
                              <w:marTop w:val="0"/>
                              <w:marBottom w:val="0"/>
                              <w:divBdr>
                                <w:top w:val="single" w:sz="6" w:space="0" w:color="FFFFFF"/>
                                <w:left w:val="single" w:sz="6" w:space="0" w:color="FFFFFF"/>
                                <w:bottom w:val="single" w:sz="6" w:space="0" w:color="FFFFFF"/>
                                <w:right w:val="single" w:sz="6" w:space="0" w:color="FFFFFF"/>
                              </w:divBdr>
                            </w:div>
                            <w:div w:id="1313754652">
                              <w:marLeft w:val="0"/>
                              <w:marRight w:val="0"/>
                              <w:marTop w:val="0"/>
                              <w:marBottom w:val="0"/>
                              <w:divBdr>
                                <w:top w:val="single" w:sz="6" w:space="0" w:color="FFFFFF"/>
                                <w:left w:val="single" w:sz="6" w:space="0" w:color="FFFFFF"/>
                                <w:bottom w:val="single" w:sz="6" w:space="0" w:color="FFFFFF"/>
                                <w:right w:val="single" w:sz="6" w:space="0" w:color="FFFFFF"/>
                              </w:divBdr>
                            </w:div>
                            <w:div w:id="1737895618">
                              <w:marLeft w:val="0"/>
                              <w:marRight w:val="0"/>
                              <w:marTop w:val="0"/>
                              <w:marBottom w:val="0"/>
                              <w:divBdr>
                                <w:top w:val="single" w:sz="6" w:space="0" w:color="FFFFFF"/>
                                <w:left w:val="single" w:sz="6" w:space="0" w:color="FFFFFF"/>
                                <w:bottom w:val="single" w:sz="6" w:space="0" w:color="FFFFFF"/>
                                <w:right w:val="single" w:sz="6" w:space="0" w:color="FFFFFF"/>
                              </w:divBdr>
                            </w:div>
                            <w:div w:id="1288196306">
                              <w:marLeft w:val="0"/>
                              <w:marRight w:val="0"/>
                              <w:marTop w:val="0"/>
                              <w:marBottom w:val="0"/>
                              <w:divBdr>
                                <w:top w:val="single" w:sz="6" w:space="0" w:color="FFFFFF"/>
                                <w:left w:val="single" w:sz="6" w:space="0" w:color="FFFFFF"/>
                                <w:bottom w:val="single" w:sz="6" w:space="0" w:color="FFFFFF"/>
                                <w:right w:val="single" w:sz="6" w:space="0" w:color="FFFFFF"/>
                              </w:divBdr>
                            </w:div>
                            <w:div w:id="134101388">
                              <w:marLeft w:val="0"/>
                              <w:marRight w:val="0"/>
                              <w:marTop w:val="0"/>
                              <w:marBottom w:val="0"/>
                              <w:divBdr>
                                <w:top w:val="single" w:sz="6" w:space="0" w:color="FFFFFF"/>
                                <w:left w:val="single" w:sz="6" w:space="0" w:color="FFFFFF"/>
                                <w:bottom w:val="single" w:sz="6" w:space="0" w:color="FFFFFF"/>
                                <w:right w:val="single" w:sz="6" w:space="0" w:color="FFFFFF"/>
                              </w:divBdr>
                            </w:div>
                            <w:div w:id="1012878233">
                              <w:marLeft w:val="0"/>
                              <w:marRight w:val="0"/>
                              <w:marTop w:val="0"/>
                              <w:marBottom w:val="0"/>
                              <w:divBdr>
                                <w:top w:val="single" w:sz="6" w:space="0" w:color="FFFFFF"/>
                                <w:left w:val="single" w:sz="6" w:space="0" w:color="FFFFFF"/>
                                <w:bottom w:val="single" w:sz="6" w:space="0" w:color="FFFFFF"/>
                                <w:right w:val="single" w:sz="6" w:space="0" w:color="FFFFFF"/>
                              </w:divBdr>
                            </w:div>
                            <w:div w:id="794132471">
                              <w:marLeft w:val="0"/>
                              <w:marRight w:val="0"/>
                              <w:marTop w:val="0"/>
                              <w:marBottom w:val="0"/>
                              <w:divBdr>
                                <w:top w:val="single" w:sz="6" w:space="0" w:color="FFFFFF"/>
                                <w:left w:val="single" w:sz="6" w:space="0" w:color="FFFFFF"/>
                                <w:bottom w:val="single" w:sz="6" w:space="0" w:color="FFFFFF"/>
                                <w:right w:val="single" w:sz="6" w:space="0" w:color="FFFFFF"/>
                              </w:divBdr>
                            </w:div>
                            <w:div w:id="1494956732">
                              <w:marLeft w:val="0"/>
                              <w:marRight w:val="0"/>
                              <w:marTop w:val="0"/>
                              <w:marBottom w:val="0"/>
                              <w:divBdr>
                                <w:top w:val="single" w:sz="6" w:space="0" w:color="FFFFFF"/>
                                <w:left w:val="single" w:sz="6" w:space="0" w:color="FFFFFF"/>
                                <w:bottom w:val="single" w:sz="6" w:space="0" w:color="FFFFFF"/>
                                <w:right w:val="single" w:sz="6" w:space="0" w:color="FFFFFF"/>
                              </w:divBdr>
                            </w:div>
                            <w:div w:id="2126340599">
                              <w:marLeft w:val="0"/>
                              <w:marRight w:val="0"/>
                              <w:marTop w:val="0"/>
                              <w:marBottom w:val="0"/>
                              <w:divBdr>
                                <w:top w:val="single" w:sz="6" w:space="0" w:color="FFFFFF"/>
                                <w:left w:val="single" w:sz="6" w:space="0" w:color="FFFFFF"/>
                                <w:bottom w:val="single" w:sz="6" w:space="0" w:color="FFFFFF"/>
                                <w:right w:val="single" w:sz="6" w:space="0" w:color="FFFFFF"/>
                              </w:divBdr>
                            </w:div>
                            <w:div w:id="1648706898">
                              <w:marLeft w:val="0"/>
                              <w:marRight w:val="0"/>
                              <w:marTop w:val="0"/>
                              <w:marBottom w:val="0"/>
                              <w:divBdr>
                                <w:top w:val="single" w:sz="6" w:space="0" w:color="FFFFFF"/>
                                <w:left w:val="single" w:sz="6" w:space="0" w:color="FFFFFF"/>
                                <w:bottom w:val="single" w:sz="6" w:space="0" w:color="FFFFFF"/>
                                <w:right w:val="single" w:sz="6" w:space="0" w:color="FFFFFF"/>
                              </w:divBdr>
                            </w:div>
                            <w:div w:id="417598176">
                              <w:marLeft w:val="0"/>
                              <w:marRight w:val="0"/>
                              <w:marTop w:val="0"/>
                              <w:marBottom w:val="0"/>
                              <w:divBdr>
                                <w:top w:val="single" w:sz="6" w:space="0" w:color="FFFFFF"/>
                                <w:left w:val="single" w:sz="6" w:space="0" w:color="FFFFFF"/>
                                <w:bottom w:val="single" w:sz="6" w:space="0" w:color="FFFFFF"/>
                                <w:right w:val="single" w:sz="6" w:space="0" w:color="FFFFFF"/>
                              </w:divBdr>
                            </w:div>
                            <w:div w:id="385372938">
                              <w:marLeft w:val="0"/>
                              <w:marRight w:val="0"/>
                              <w:marTop w:val="0"/>
                              <w:marBottom w:val="0"/>
                              <w:divBdr>
                                <w:top w:val="single" w:sz="6" w:space="0" w:color="FFFFFF"/>
                                <w:left w:val="single" w:sz="6" w:space="0" w:color="FFFFFF"/>
                                <w:bottom w:val="single" w:sz="6" w:space="0" w:color="FFFFFF"/>
                                <w:right w:val="single" w:sz="6" w:space="0" w:color="FFFFFF"/>
                              </w:divBdr>
                            </w:div>
                            <w:div w:id="1816751291">
                              <w:marLeft w:val="0"/>
                              <w:marRight w:val="0"/>
                              <w:marTop w:val="0"/>
                              <w:marBottom w:val="0"/>
                              <w:divBdr>
                                <w:top w:val="single" w:sz="6" w:space="0" w:color="FFFFFF"/>
                                <w:left w:val="single" w:sz="6" w:space="0" w:color="FFFFFF"/>
                                <w:bottom w:val="single" w:sz="6" w:space="0" w:color="FFFFFF"/>
                                <w:right w:val="single" w:sz="6" w:space="0" w:color="FFFFFF"/>
                              </w:divBdr>
                            </w:div>
                            <w:div w:id="920528449">
                              <w:marLeft w:val="0"/>
                              <w:marRight w:val="0"/>
                              <w:marTop w:val="0"/>
                              <w:marBottom w:val="0"/>
                              <w:divBdr>
                                <w:top w:val="single" w:sz="6" w:space="0" w:color="FFFFFF"/>
                                <w:left w:val="single" w:sz="6" w:space="0" w:color="FFFFFF"/>
                                <w:bottom w:val="single" w:sz="6" w:space="0" w:color="FFFFFF"/>
                                <w:right w:val="single" w:sz="6" w:space="0" w:color="FFFFFF"/>
                              </w:divBdr>
                            </w:div>
                            <w:div w:id="904219406">
                              <w:marLeft w:val="0"/>
                              <w:marRight w:val="0"/>
                              <w:marTop w:val="0"/>
                              <w:marBottom w:val="0"/>
                              <w:divBdr>
                                <w:top w:val="single" w:sz="6" w:space="0" w:color="FFFFFF"/>
                                <w:left w:val="single" w:sz="6" w:space="0" w:color="FFFFFF"/>
                                <w:bottom w:val="single" w:sz="6" w:space="0" w:color="FFFFFF"/>
                                <w:right w:val="single" w:sz="6" w:space="0" w:color="FFFFFF"/>
                              </w:divBdr>
                            </w:div>
                            <w:div w:id="1946498637">
                              <w:marLeft w:val="0"/>
                              <w:marRight w:val="0"/>
                              <w:marTop w:val="0"/>
                              <w:marBottom w:val="0"/>
                              <w:divBdr>
                                <w:top w:val="single" w:sz="6" w:space="0" w:color="FFFFFF"/>
                                <w:left w:val="single" w:sz="6" w:space="0" w:color="FFFFFF"/>
                                <w:bottom w:val="single" w:sz="6" w:space="0" w:color="FFFFFF"/>
                                <w:right w:val="single" w:sz="6" w:space="0" w:color="FFFFFF"/>
                              </w:divBdr>
                            </w:div>
                            <w:div w:id="1516991419">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 w:id="1683967571">
                  <w:marLeft w:val="135"/>
                  <w:marRight w:val="135"/>
                  <w:marTop w:val="0"/>
                  <w:marBottom w:val="135"/>
                  <w:divBdr>
                    <w:top w:val="none" w:sz="0" w:space="0" w:color="auto"/>
                    <w:left w:val="none" w:sz="0" w:space="0" w:color="auto"/>
                    <w:bottom w:val="none" w:sz="0" w:space="0" w:color="auto"/>
                    <w:right w:val="none" w:sz="0" w:space="0" w:color="auto"/>
                  </w:divBdr>
                  <w:divsChild>
                    <w:div w:id="1987734512">
                      <w:marLeft w:val="0"/>
                      <w:marRight w:val="0"/>
                      <w:marTop w:val="0"/>
                      <w:marBottom w:val="0"/>
                      <w:divBdr>
                        <w:top w:val="none" w:sz="0" w:space="0" w:color="auto"/>
                        <w:left w:val="none" w:sz="0" w:space="0" w:color="auto"/>
                        <w:bottom w:val="none" w:sz="0" w:space="0" w:color="auto"/>
                        <w:right w:val="none" w:sz="0" w:space="0" w:color="auto"/>
                      </w:divBdr>
                    </w:div>
                    <w:div w:id="136118815">
                      <w:marLeft w:val="0"/>
                      <w:marRight w:val="0"/>
                      <w:marTop w:val="0"/>
                      <w:marBottom w:val="0"/>
                      <w:divBdr>
                        <w:top w:val="none" w:sz="0" w:space="0" w:color="auto"/>
                        <w:left w:val="none" w:sz="0" w:space="0" w:color="auto"/>
                        <w:bottom w:val="none" w:sz="0" w:space="0" w:color="auto"/>
                        <w:right w:val="none" w:sz="0" w:space="0" w:color="auto"/>
                      </w:divBdr>
                      <w:divsChild>
                        <w:div w:id="1804389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54720368">
      <w:bodyDiv w:val="1"/>
      <w:marLeft w:val="0"/>
      <w:marRight w:val="0"/>
      <w:marTop w:val="0"/>
      <w:marBottom w:val="0"/>
      <w:divBdr>
        <w:top w:val="none" w:sz="0" w:space="0" w:color="auto"/>
        <w:left w:val="none" w:sz="0" w:space="0" w:color="auto"/>
        <w:bottom w:val="none" w:sz="0" w:space="0" w:color="auto"/>
        <w:right w:val="none" w:sz="0" w:space="0" w:color="auto"/>
      </w:divBdr>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475679599">
      <w:bodyDiv w:val="1"/>
      <w:marLeft w:val="0"/>
      <w:marRight w:val="0"/>
      <w:marTop w:val="0"/>
      <w:marBottom w:val="0"/>
      <w:divBdr>
        <w:top w:val="none" w:sz="0" w:space="0" w:color="auto"/>
        <w:left w:val="none" w:sz="0" w:space="0" w:color="auto"/>
        <w:bottom w:val="none" w:sz="0" w:space="0" w:color="auto"/>
        <w:right w:val="none" w:sz="0" w:space="0" w:color="auto"/>
      </w:divBdr>
    </w:div>
    <w:div w:id="1481265349">
      <w:bodyDiv w:val="1"/>
      <w:marLeft w:val="0"/>
      <w:marRight w:val="0"/>
      <w:marTop w:val="0"/>
      <w:marBottom w:val="0"/>
      <w:divBdr>
        <w:top w:val="none" w:sz="0" w:space="0" w:color="auto"/>
        <w:left w:val="none" w:sz="0" w:space="0" w:color="auto"/>
        <w:bottom w:val="none" w:sz="0" w:space="0" w:color="auto"/>
        <w:right w:val="none" w:sz="0" w:space="0" w:color="auto"/>
      </w:divBdr>
    </w:div>
    <w:div w:id="1491481800">
      <w:bodyDiv w:val="1"/>
      <w:marLeft w:val="0"/>
      <w:marRight w:val="0"/>
      <w:marTop w:val="0"/>
      <w:marBottom w:val="0"/>
      <w:divBdr>
        <w:top w:val="none" w:sz="0" w:space="0" w:color="auto"/>
        <w:left w:val="none" w:sz="0" w:space="0" w:color="auto"/>
        <w:bottom w:val="none" w:sz="0" w:space="0" w:color="auto"/>
        <w:right w:val="none" w:sz="0" w:space="0" w:color="auto"/>
      </w:divBdr>
    </w:div>
    <w:div w:id="1546991743">
      <w:bodyDiv w:val="1"/>
      <w:marLeft w:val="0"/>
      <w:marRight w:val="0"/>
      <w:marTop w:val="0"/>
      <w:marBottom w:val="0"/>
      <w:divBdr>
        <w:top w:val="none" w:sz="0" w:space="0" w:color="auto"/>
        <w:left w:val="none" w:sz="0" w:space="0" w:color="auto"/>
        <w:bottom w:val="none" w:sz="0" w:space="0" w:color="auto"/>
        <w:right w:val="none" w:sz="0" w:space="0" w:color="auto"/>
      </w:divBdr>
    </w:div>
    <w:div w:id="1551989503">
      <w:bodyDiv w:val="1"/>
      <w:marLeft w:val="0"/>
      <w:marRight w:val="0"/>
      <w:marTop w:val="0"/>
      <w:marBottom w:val="0"/>
      <w:divBdr>
        <w:top w:val="none" w:sz="0" w:space="0" w:color="auto"/>
        <w:left w:val="none" w:sz="0" w:space="0" w:color="auto"/>
        <w:bottom w:val="none" w:sz="0" w:space="0" w:color="auto"/>
        <w:right w:val="none" w:sz="0" w:space="0" w:color="auto"/>
      </w:divBdr>
    </w:div>
    <w:div w:id="1552889436">
      <w:bodyDiv w:val="1"/>
      <w:marLeft w:val="0"/>
      <w:marRight w:val="0"/>
      <w:marTop w:val="0"/>
      <w:marBottom w:val="0"/>
      <w:divBdr>
        <w:top w:val="none" w:sz="0" w:space="0" w:color="auto"/>
        <w:left w:val="none" w:sz="0" w:space="0" w:color="auto"/>
        <w:bottom w:val="none" w:sz="0" w:space="0" w:color="auto"/>
        <w:right w:val="none" w:sz="0" w:space="0" w:color="auto"/>
      </w:divBdr>
      <w:divsChild>
        <w:div w:id="1515993958">
          <w:marLeft w:val="0"/>
          <w:marRight w:val="0"/>
          <w:marTop w:val="0"/>
          <w:marBottom w:val="0"/>
          <w:divBdr>
            <w:top w:val="single" w:sz="12" w:space="0" w:color="C5D1D8"/>
            <w:left w:val="single" w:sz="12" w:space="0" w:color="C5D1D8"/>
            <w:bottom w:val="single" w:sz="12" w:space="0" w:color="C5D1D8"/>
            <w:right w:val="single" w:sz="12" w:space="0" w:color="C5D1D8"/>
          </w:divBdr>
          <w:divsChild>
            <w:div w:id="522400750">
              <w:marLeft w:val="0"/>
              <w:marRight w:val="0"/>
              <w:marTop w:val="0"/>
              <w:marBottom w:val="0"/>
              <w:divBdr>
                <w:top w:val="none" w:sz="0" w:space="0" w:color="auto"/>
                <w:left w:val="none" w:sz="0" w:space="0" w:color="auto"/>
                <w:bottom w:val="none" w:sz="0" w:space="0" w:color="auto"/>
                <w:right w:val="none" w:sz="0" w:space="0" w:color="auto"/>
              </w:divBdr>
            </w:div>
          </w:divsChild>
        </w:div>
        <w:div w:id="1026978383">
          <w:marLeft w:val="0"/>
          <w:marRight w:val="0"/>
          <w:marTop w:val="0"/>
          <w:marBottom w:val="0"/>
          <w:divBdr>
            <w:top w:val="single" w:sz="12" w:space="0" w:color="C5D1D8"/>
            <w:left w:val="single" w:sz="12" w:space="0" w:color="C5D1D8"/>
            <w:bottom w:val="single" w:sz="12" w:space="0" w:color="C5D1D8"/>
            <w:right w:val="single" w:sz="12" w:space="0" w:color="C5D1D8"/>
          </w:divBdr>
          <w:divsChild>
            <w:div w:id="1103459488">
              <w:marLeft w:val="0"/>
              <w:marRight w:val="0"/>
              <w:marTop w:val="0"/>
              <w:marBottom w:val="0"/>
              <w:divBdr>
                <w:top w:val="none" w:sz="0" w:space="0" w:color="auto"/>
                <w:left w:val="none" w:sz="0" w:space="0" w:color="auto"/>
                <w:bottom w:val="none" w:sz="0" w:space="0" w:color="auto"/>
                <w:right w:val="none" w:sz="0" w:space="0" w:color="auto"/>
              </w:divBdr>
            </w:div>
          </w:divsChild>
        </w:div>
        <w:div w:id="187960934">
          <w:marLeft w:val="0"/>
          <w:marRight w:val="0"/>
          <w:marTop w:val="0"/>
          <w:marBottom w:val="0"/>
          <w:divBdr>
            <w:top w:val="single" w:sz="12" w:space="0" w:color="C5D1D8"/>
            <w:left w:val="single" w:sz="12" w:space="0" w:color="C5D1D8"/>
            <w:bottom w:val="single" w:sz="12" w:space="0" w:color="C5D1D8"/>
            <w:right w:val="single" w:sz="12" w:space="0" w:color="C5D1D8"/>
          </w:divBdr>
          <w:divsChild>
            <w:div w:id="179112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21745">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40107588">
      <w:bodyDiv w:val="1"/>
      <w:marLeft w:val="0"/>
      <w:marRight w:val="0"/>
      <w:marTop w:val="0"/>
      <w:marBottom w:val="0"/>
      <w:divBdr>
        <w:top w:val="none" w:sz="0" w:space="0" w:color="auto"/>
        <w:left w:val="none" w:sz="0" w:space="0" w:color="auto"/>
        <w:bottom w:val="none" w:sz="0" w:space="0" w:color="auto"/>
        <w:right w:val="none" w:sz="0" w:space="0" w:color="auto"/>
      </w:divBdr>
    </w:div>
    <w:div w:id="1651867489">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7608962">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530710">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58558758">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276899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32405944">
      <w:bodyDiv w:val="1"/>
      <w:marLeft w:val="0"/>
      <w:marRight w:val="0"/>
      <w:marTop w:val="0"/>
      <w:marBottom w:val="0"/>
      <w:divBdr>
        <w:top w:val="none" w:sz="0" w:space="0" w:color="auto"/>
        <w:left w:val="none" w:sz="0" w:space="0" w:color="auto"/>
        <w:bottom w:val="none" w:sz="0" w:space="0" w:color="auto"/>
        <w:right w:val="none" w:sz="0" w:space="0" w:color="auto"/>
      </w:divBdr>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896546685">
      <w:bodyDiv w:val="1"/>
      <w:marLeft w:val="0"/>
      <w:marRight w:val="0"/>
      <w:marTop w:val="0"/>
      <w:marBottom w:val="0"/>
      <w:divBdr>
        <w:top w:val="none" w:sz="0" w:space="0" w:color="auto"/>
        <w:left w:val="none" w:sz="0" w:space="0" w:color="auto"/>
        <w:bottom w:val="none" w:sz="0" w:space="0" w:color="auto"/>
        <w:right w:val="none" w:sz="0" w:space="0" w:color="auto"/>
      </w:divBdr>
    </w:div>
    <w:div w:id="1930430456">
      <w:bodyDiv w:val="1"/>
      <w:marLeft w:val="0"/>
      <w:marRight w:val="0"/>
      <w:marTop w:val="0"/>
      <w:marBottom w:val="0"/>
      <w:divBdr>
        <w:top w:val="none" w:sz="0" w:space="0" w:color="auto"/>
        <w:left w:val="none" w:sz="0" w:space="0" w:color="auto"/>
        <w:bottom w:val="none" w:sz="0" w:space="0" w:color="auto"/>
        <w:right w:val="none" w:sz="0" w:space="0" w:color="auto"/>
      </w:divBdr>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460196">
      <w:bodyDiv w:val="1"/>
      <w:marLeft w:val="0"/>
      <w:marRight w:val="0"/>
      <w:marTop w:val="0"/>
      <w:marBottom w:val="0"/>
      <w:divBdr>
        <w:top w:val="none" w:sz="0" w:space="0" w:color="auto"/>
        <w:left w:val="none" w:sz="0" w:space="0" w:color="auto"/>
        <w:bottom w:val="none" w:sz="0" w:space="0" w:color="auto"/>
        <w:right w:val="none" w:sz="0" w:space="0" w:color="auto"/>
      </w:divBdr>
    </w:div>
    <w:div w:id="1956709986">
      <w:bodyDiv w:val="1"/>
      <w:marLeft w:val="0"/>
      <w:marRight w:val="0"/>
      <w:marTop w:val="0"/>
      <w:marBottom w:val="0"/>
      <w:divBdr>
        <w:top w:val="none" w:sz="0" w:space="0" w:color="auto"/>
        <w:left w:val="none" w:sz="0" w:space="0" w:color="auto"/>
        <w:bottom w:val="none" w:sz="0" w:space="0" w:color="auto"/>
        <w:right w:val="none" w:sz="0" w:space="0" w:color="auto"/>
      </w:divBdr>
    </w:div>
    <w:div w:id="1958174963">
      <w:bodyDiv w:val="1"/>
      <w:marLeft w:val="0"/>
      <w:marRight w:val="0"/>
      <w:marTop w:val="0"/>
      <w:marBottom w:val="0"/>
      <w:divBdr>
        <w:top w:val="none" w:sz="0" w:space="0" w:color="auto"/>
        <w:left w:val="none" w:sz="0" w:space="0" w:color="auto"/>
        <w:bottom w:val="none" w:sz="0" w:space="0" w:color="auto"/>
        <w:right w:val="none" w:sz="0" w:space="0" w:color="auto"/>
      </w:divBdr>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7586063">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69257556">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083024283">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 w:id="2110617991">
      <w:bodyDiv w:val="1"/>
      <w:marLeft w:val="0"/>
      <w:marRight w:val="0"/>
      <w:marTop w:val="0"/>
      <w:marBottom w:val="0"/>
      <w:divBdr>
        <w:top w:val="none" w:sz="0" w:space="0" w:color="auto"/>
        <w:left w:val="none" w:sz="0" w:space="0" w:color="auto"/>
        <w:bottom w:val="none" w:sz="0" w:space="0" w:color="auto"/>
        <w:right w:val="none" w:sz="0" w:space="0" w:color="auto"/>
      </w:divBdr>
    </w:div>
    <w:div w:id="2137329362">
      <w:bodyDiv w:val="1"/>
      <w:marLeft w:val="0"/>
      <w:marRight w:val="0"/>
      <w:marTop w:val="0"/>
      <w:marBottom w:val="0"/>
      <w:divBdr>
        <w:top w:val="none" w:sz="0" w:space="0" w:color="auto"/>
        <w:left w:val="none" w:sz="0" w:space="0" w:color="auto"/>
        <w:bottom w:val="none" w:sz="0" w:space="0" w:color="auto"/>
        <w:right w:val="none" w:sz="0" w:space="0" w:color="auto"/>
      </w:divBdr>
      <w:divsChild>
        <w:div w:id="201866030">
          <w:marLeft w:val="146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iprecruiter.com/Salaries/How-Much-Does-a-FERC-Make-a-Year-in-Washington,DC" TargetMode="External"/><Relationship Id="rId18" Type="http://schemas.openxmlformats.org/officeDocument/2006/relationships/hyperlink" Target="https://www.ogj.com/general-interest/government/article/17297104/us-congressmen-offer-bill-to-reduce-lng-permit-backlog-at-ferc" TargetMode="External"/><Relationship Id="rId26" Type="http://schemas.openxmlformats.org/officeDocument/2006/relationships/hyperlink" Target="https://www.ecowatch.com/new-jersey-climate-crisis-building-permits-2644940252.html" TargetMode="External"/><Relationship Id="rId39" Type="http://schemas.openxmlformats.org/officeDocument/2006/relationships/hyperlink" Target="https://www.biologicaldiversity.org/campaigns/fracking/pdfs/Colborn_2011_Natural_Gas_from_a_public_health_perspective.pdf" TargetMode="External"/><Relationship Id="rId3" Type="http://schemas.openxmlformats.org/officeDocument/2006/relationships/settings" Target="settings.xml"/><Relationship Id="rId21" Type="http://schemas.openxmlformats.org/officeDocument/2006/relationships/hyperlink" Target="https://www.flra.gov/fsip/finalact/06fs_054.html" TargetMode="External"/><Relationship Id="rId34" Type="http://schemas.openxmlformats.org/officeDocument/2006/relationships/hyperlink" Target="http://pubs.usgs.gov/ds/718/DS718_508.pdf" TargetMode="External"/><Relationship Id="rId42" Type="http://schemas.openxmlformats.org/officeDocument/2006/relationships/fontTable" Target="fontTable.xml"/><Relationship Id="rId7" Type="http://schemas.openxmlformats.org/officeDocument/2006/relationships/hyperlink" Target="https://olson.house.gov/sites/olson.house.gov/files/wysiwyg_uploaded/OLSON_003_xml.pdf" TargetMode="External"/><Relationship Id="rId12" Type="http://schemas.openxmlformats.org/officeDocument/2006/relationships/hyperlink" Target="https://www.eia.gov/todayinenergy/detail.php?id=34032" TargetMode="External"/><Relationship Id="rId17" Type="http://schemas.openxmlformats.org/officeDocument/2006/relationships/hyperlink" Target="https://www.thebalancecareers.com/what-constitutes-a-good-salary-in-the-u-s-4172300" TargetMode="External"/><Relationship Id="rId25" Type="http://schemas.openxmlformats.org/officeDocument/2006/relationships/hyperlink" Target="https://www.chron.com/business/energy/article/Congress-looking-to-ease-FERC-backlog-raising-13110285.php" TargetMode="External"/><Relationship Id="rId33" Type="http://schemas.openxmlformats.org/officeDocument/2006/relationships/hyperlink" Target="https://www.epa.gov/sites/production/files/documents/PavillionWyomingFactSheet.pdf" TargetMode="External"/><Relationship Id="rId38" Type="http://schemas.openxmlformats.org/officeDocument/2006/relationships/hyperlink" Target="https://serc.carleton.edu/NAGTWorkshops/health/case_studies/hydrofracking_w.html" TargetMode="External"/><Relationship Id="rId2" Type="http://schemas.openxmlformats.org/officeDocument/2006/relationships/styles" Target="styles.xml"/><Relationship Id="rId16" Type="http://schemas.openxmlformats.org/officeDocument/2006/relationships/hyperlink" Target="https://www.thebalancecareers.com/median-salary-525831" TargetMode="External"/><Relationship Id="rId20" Type="http://schemas.openxmlformats.org/officeDocument/2006/relationships/hyperlink" Target="https://caselaw.findlaw.com/us-dc-circuit/1335106.html" TargetMode="External"/><Relationship Id="rId29" Type="http://schemas.openxmlformats.org/officeDocument/2006/relationships/hyperlink" Target="http://ecowatch.com/p/energy/fracking-2/"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ia.gov/todayinenergy/detail.php?id=35512" TargetMode="External"/><Relationship Id="rId24" Type="http://schemas.openxmlformats.org/officeDocument/2006/relationships/hyperlink" Target="https://www.bakerinstitute.org/media/files/files/8bc35e0a/bi-brief-100118-ces-ferc.pdf" TargetMode="External"/><Relationship Id="rId32" Type="http://schemas.openxmlformats.org/officeDocument/2006/relationships/hyperlink" Target="https://serc.carleton.edu/NAGTWorkshops/health/case_studies/hydrofracking_w.html" TargetMode="External"/><Relationship Id="rId37" Type="http://schemas.openxmlformats.org/officeDocument/2006/relationships/hyperlink" Target="http://i2.cdn.turner.com/cnn/2012/images/06/15/induced.seismicity.prepublication.pdf"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bls.gov/news.release/pdf/wkyeng.pdf" TargetMode="External"/><Relationship Id="rId23" Type="http://schemas.openxmlformats.org/officeDocument/2006/relationships/hyperlink" Target="https://www.heritage.org/government-regulation/report/reforming-the-securities-and-exchange-commission" TargetMode="External"/><Relationship Id="rId28" Type="http://schemas.openxmlformats.org/officeDocument/2006/relationships/hyperlink" Target="http://ecowatch.com/2013/stopping-lng-exports-key-to-preventing-spread-fracking/" TargetMode="External"/><Relationship Id="rId36" Type="http://schemas.openxmlformats.org/officeDocument/2006/relationships/hyperlink" Target="https://serc.carleton.edu/NAGTWorkshops/health/case_studies/hydrofracking_w.html" TargetMode="External"/><Relationship Id="rId10" Type="http://schemas.openxmlformats.org/officeDocument/2006/relationships/hyperlink" Target="https://www.eia.gov/todayinenergy/detail.php?id=35512" TargetMode="External"/><Relationship Id="rId19" Type="http://schemas.openxmlformats.org/officeDocument/2006/relationships/hyperlink" Target="https://www.congress.gov/bill/115th-congress/house-bill/6552?q=%7B%22search%22%3A%5B%22H.R.+6552%22%5D%7D&amp;r=1" TargetMode="External"/><Relationship Id="rId31" Type="http://schemas.openxmlformats.org/officeDocument/2006/relationships/hyperlink" Target="http://action.sierraclub.org/site/R?i=Xw9fu9xmFUb7NdqVnBonbA" TargetMode="External"/><Relationship Id="rId4" Type="http://schemas.openxmlformats.org/officeDocument/2006/relationships/webSettings" Target="webSettings.xml"/><Relationship Id="rId9" Type="http://schemas.openxmlformats.org/officeDocument/2006/relationships/hyperlink" Target="https://gcaptain.com/u-s-lng-export-projects-face-long-permitting-delays/" TargetMode="External"/><Relationship Id="rId14" Type="http://schemas.openxmlformats.org/officeDocument/2006/relationships/hyperlink" Target="https://www.thebalancecareers.com/average-salary-information-for-us-workers-2060808" TargetMode="External"/><Relationship Id="rId22" Type="http://schemas.openxmlformats.org/officeDocument/2006/relationships/hyperlink" Target="https://www.heritage.org/government-regulation/report/reforming-the-securities-and-exchange-commission" TargetMode="External"/><Relationship Id="rId27" Type="http://schemas.openxmlformats.org/officeDocument/2006/relationships/hyperlink" Target="http://ecowatch.com/2013/natural-gas-exports-economy/" TargetMode="External"/><Relationship Id="rId30" Type="http://schemas.openxmlformats.org/officeDocument/2006/relationships/hyperlink" Target="https://www.ecowatch.com/new-jersey-climate-crisis-building-permits-2644940252.html" TargetMode="External"/><Relationship Id="rId35" Type="http://schemas.openxmlformats.org/officeDocument/2006/relationships/hyperlink" Target="https://yosemite.epa.gov/oa/rhc/epaadmin.nsf/Filings/3973BBFC0F02C25F85257B89001BCB0D/$File/SDWA0820130035%20AO.pdf"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3424</TotalTime>
  <Pages>10</Pages>
  <Words>3990</Words>
  <Characters>22744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TREFETHEN Vance</cp:lastModifiedBy>
  <cp:revision>150</cp:revision>
  <dcterms:created xsi:type="dcterms:W3CDTF">2019-07-12T16:54:00Z</dcterms:created>
  <dcterms:modified xsi:type="dcterms:W3CDTF">2020-01-29T20:52:00Z</dcterms:modified>
</cp:coreProperties>
</file>